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328FE" w14:textId="55D7CD39" w:rsidR="00EC6739" w:rsidRPr="00ED6CE7" w:rsidRDefault="008F5731"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 xml:space="preserve">Tytuł: </w:t>
      </w:r>
      <w:r w:rsidR="000C2248" w:rsidRPr="00ED6CE7">
        <w:rPr>
          <w:rFonts w:ascii="Times New Roman" w:hAnsi="Times New Roman" w:cs="Times New Roman"/>
          <w:b/>
          <w:sz w:val="24"/>
          <w:szCs w:val="24"/>
        </w:rPr>
        <w:t>Ustawa o zmianie niektórych ustaw</w:t>
      </w:r>
      <w:r w:rsidR="00BD6986" w:rsidRPr="00ED6CE7">
        <w:rPr>
          <w:rFonts w:ascii="Times New Roman" w:hAnsi="Times New Roman" w:cs="Times New Roman"/>
          <w:b/>
          <w:sz w:val="24"/>
          <w:szCs w:val="24"/>
        </w:rPr>
        <w:t>y</w:t>
      </w:r>
      <w:r w:rsidR="000C2248" w:rsidRPr="00ED6CE7">
        <w:rPr>
          <w:rFonts w:ascii="Times New Roman" w:hAnsi="Times New Roman" w:cs="Times New Roman"/>
          <w:b/>
          <w:sz w:val="24"/>
          <w:szCs w:val="24"/>
        </w:rPr>
        <w:t xml:space="preserve"> w celu ograniczenia zatorów płatniczych</w:t>
      </w:r>
    </w:p>
    <w:p w14:paraId="1FDE1FEA" w14:textId="13042C3A" w:rsidR="000C2248" w:rsidRPr="00ED6CE7" w:rsidRDefault="008F5731"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 xml:space="preserve">Podtytuł: </w:t>
      </w:r>
      <w:r w:rsidR="00C05F95" w:rsidRPr="00ED6CE7">
        <w:rPr>
          <w:rFonts w:ascii="Times New Roman" w:hAnsi="Times New Roman" w:cs="Times New Roman"/>
          <w:b/>
          <w:sz w:val="24"/>
          <w:szCs w:val="24"/>
        </w:rPr>
        <w:t>N</w:t>
      </w:r>
      <w:r w:rsidR="00B255DD" w:rsidRPr="00ED6CE7">
        <w:rPr>
          <w:rFonts w:ascii="Times New Roman" w:hAnsi="Times New Roman" w:cs="Times New Roman"/>
          <w:b/>
          <w:sz w:val="24"/>
          <w:szCs w:val="24"/>
        </w:rPr>
        <w:t>owe instrume</w:t>
      </w:r>
      <w:r w:rsidR="00AC60AD" w:rsidRPr="00ED6CE7">
        <w:rPr>
          <w:rFonts w:ascii="Times New Roman" w:hAnsi="Times New Roman" w:cs="Times New Roman"/>
          <w:b/>
          <w:sz w:val="24"/>
          <w:szCs w:val="24"/>
        </w:rPr>
        <w:t>nty dyscyplinowania niesolidny</w:t>
      </w:r>
      <w:r w:rsidR="00B255DD" w:rsidRPr="00ED6CE7">
        <w:rPr>
          <w:rFonts w:ascii="Times New Roman" w:hAnsi="Times New Roman" w:cs="Times New Roman"/>
          <w:b/>
          <w:sz w:val="24"/>
          <w:szCs w:val="24"/>
        </w:rPr>
        <w:t xml:space="preserve"> </w:t>
      </w:r>
      <w:r w:rsidR="00AC60AD" w:rsidRPr="00ED6CE7">
        <w:rPr>
          <w:rFonts w:ascii="Times New Roman" w:hAnsi="Times New Roman" w:cs="Times New Roman"/>
          <w:b/>
          <w:sz w:val="24"/>
          <w:szCs w:val="24"/>
        </w:rPr>
        <w:t>dłużnik</w:t>
      </w:r>
    </w:p>
    <w:p w14:paraId="7186BCD3" w14:textId="3ED87870" w:rsidR="008F5731" w:rsidRPr="00ED6CE7" w:rsidRDefault="008F5731"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Autor: Agata Kudelska</w:t>
      </w:r>
    </w:p>
    <w:p w14:paraId="28EF373A" w14:textId="77777777" w:rsidR="00C63A53" w:rsidRPr="00ED6CE7" w:rsidRDefault="00C63A53" w:rsidP="00C63A53">
      <w:pPr>
        <w:spacing w:after="0" w:line="276" w:lineRule="auto"/>
        <w:rPr>
          <w:rFonts w:ascii="Times New Roman" w:hAnsi="Times New Roman" w:cs="Times New Roman"/>
          <w:sz w:val="24"/>
          <w:szCs w:val="24"/>
        </w:rPr>
      </w:pPr>
    </w:p>
    <w:p w14:paraId="768571A5" w14:textId="52A9E7A7" w:rsidR="0029520B" w:rsidRPr="00ED6CE7" w:rsidRDefault="00BD6986"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Problem zaw</w:t>
      </w:r>
      <w:r w:rsidR="00290416" w:rsidRPr="00ED6CE7">
        <w:rPr>
          <w:rFonts w:ascii="Times New Roman" w:hAnsi="Times New Roman" w:cs="Times New Roman"/>
          <w:sz w:val="24"/>
          <w:szCs w:val="24"/>
        </w:rPr>
        <w:t>orów płatni</w:t>
      </w:r>
      <w:r w:rsidR="00BB6C3B" w:rsidRPr="00ED6CE7">
        <w:rPr>
          <w:rFonts w:ascii="Times New Roman" w:hAnsi="Times New Roman" w:cs="Times New Roman"/>
          <w:sz w:val="24"/>
          <w:szCs w:val="24"/>
        </w:rPr>
        <w:t>czych w Polsce wciąż narasta.</w:t>
      </w:r>
      <w:r w:rsidR="004F3E37" w:rsidRPr="00ED6CE7">
        <w:rPr>
          <w:rFonts w:ascii="Times New Roman" w:hAnsi="Times New Roman" w:cs="Times New Roman"/>
          <w:sz w:val="24"/>
          <w:szCs w:val="24"/>
        </w:rPr>
        <w:t xml:space="preserve"> Z dotychczasowych badań wynika</w:t>
      </w:r>
      <w:r w:rsidR="00BB6C3B" w:rsidRPr="00ED6CE7">
        <w:rPr>
          <w:rFonts w:ascii="Times New Roman" w:hAnsi="Times New Roman" w:cs="Times New Roman"/>
          <w:sz w:val="24"/>
          <w:szCs w:val="24"/>
        </w:rPr>
        <w:t>, że aż</w:t>
      </w:r>
      <w:r w:rsidR="00290416" w:rsidRPr="00ED6CE7">
        <w:rPr>
          <w:rFonts w:ascii="Times New Roman" w:hAnsi="Times New Roman" w:cs="Times New Roman"/>
          <w:sz w:val="24"/>
          <w:szCs w:val="24"/>
        </w:rPr>
        <w:t xml:space="preserve"> 80-90%</w:t>
      </w:r>
      <w:r w:rsidRPr="00ED6CE7">
        <w:rPr>
          <w:rFonts w:ascii="Times New Roman" w:hAnsi="Times New Roman" w:cs="Times New Roman"/>
          <w:sz w:val="24"/>
          <w:szCs w:val="24"/>
        </w:rPr>
        <w:t xml:space="preserve"> przedsiębiorców dom</w:t>
      </w:r>
      <w:r w:rsidR="00BB6C3B" w:rsidRPr="00ED6CE7">
        <w:rPr>
          <w:rFonts w:ascii="Times New Roman" w:hAnsi="Times New Roman" w:cs="Times New Roman"/>
          <w:sz w:val="24"/>
          <w:szCs w:val="24"/>
        </w:rPr>
        <w:t>ykają opóźnienia w otrzymywaniu zapłaty od kontrahentów</w:t>
      </w:r>
      <w:r w:rsidR="0029520B" w:rsidRPr="00ED6CE7">
        <w:rPr>
          <w:rStyle w:val="Odwoanieprzypisukocowego"/>
          <w:rFonts w:ascii="Times New Roman" w:hAnsi="Times New Roman" w:cs="Times New Roman"/>
          <w:sz w:val="24"/>
          <w:szCs w:val="24"/>
        </w:rPr>
        <w:endnoteReference w:id="1"/>
      </w:r>
      <w:r w:rsidR="0029520B" w:rsidRPr="00ED6CE7">
        <w:rPr>
          <w:rFonts w:ascii="Times New Roman" w:hAnsi="Times New Roman" w:cs="Times New Roman"/>
          <w:sz w:val="24"/>
          <w:szCs w:val="24"/>
        </w:rPr>
        <w:t>. Według najnowszego raportu Konferenc</w:t>
      </w:r>
      <w:r w:rsidRPr="00ED6CE7">
        <w:rPr>
          <w:rFonts w:ascii="Times New Roman" w:hAnsi="Times New Roman" w:cs="Times New Roman"/>
          <w:sz w:val="24"/>
          <w:szCs w:val="24"/>
        </w:rPr>
        <w:t>ji Przedsiębiorstw Finansowych z</w:t>
      </w:r>
      <w:r w:rsidR="0029520B" w:rsidRPr="00ED6CE7">
        <w:rPr>
          <w:rFonts w:ascii="Times New Roman" w:hAnsi="Times New Roman" w:cs="Times New Roman"/>
          <w:sz w:val="24"/>
          <w:szCs w:val="24"/>
        </w:rPr>
        <w:t xml:space="preserve"> Polsce i Krajowego Rejestru Długów</w:t>
      </w:r>
      <w:r w:rsidR="0029520B" w:rsidRPr="00ED6CE7">
        <w:rPr>
          <w:rStyle w:val="Odwoanieprzypisukocowego"/>
          <w:rFonts w:ascii="Times New Roman" w:hAnsi="Times New Roman" w:cs="Times New Roman"/>
          <w:sz w:val="24"/>
          <w:szCs w:val="24"/>
        </w:rPr>
        <w:endnoteReference w:id="2"/>
      </w:r>
      <w:r w:rsidR="00AC60AD" w:rsidRPr="00ED6CE7">
        <w:rPr>
          <w:rFonts w:ascii="Times New Roman" w:hAnsi="Times New Roman" w:cs="Times New Roman"/>
          <w:sz w:val="24"/>
          <w:szCs w:val="24"/>
        </w:rPr>
        <w:t>, w VI</w:t>
      </w:r>
      <w:r w:rsidR="0029520B" w:rsidRPr="00ED6CE7">
        <w:rPr>
          <w:rFonts w:ascii="Times New Roman" w:hAnsi="Times New Roman" w:cs="Times New Roman"/>
          <w:sz w:val="24"/>
          <w:szCs w:val="24"/>
        </w:rPr>
        <w:t xml:space="preserve"> kwartale 2019 r. nastąpił kolejny, zdecydowany spadek wartości Indeksu Należności Przedsiębiorstw (INP)</w:t>
      </w:r>
      <w:r w:rsidR="0029520B" w:rsidRPr="00ED6CE7">
        <w:rPr>
          <w:rStyle w:val="Odwoanieprzypisukocowego"/>
          <w:rFonts w:ascii="Times New Roman" w:hAnsi="Times New Roman" w:cs="Times New Roman"/>
          <w:sz w:val="24"/>
          <w:szCs w:val="24"/>
        </w:rPr>
        <w:endnoteReference w:id="3"/>
      </w:r>
      <w:r w:rsidR="0029520B" w:rsidRPr="00ED6CE7">
        <w:rPr>
          <w:rFonts w:ascii="Times New Roman" w:hAnsi="Times New Roman" w:cs="Times New Roman"/>
          <w:sz w:val="24"/>
          <w:szCs w:val="24"/>
        </w:rPr>
        <w:t>. W lipcu 2019 r. wartość INP wyniosła 85,7 punktów, co jest najniższą wartością od lipca 2013 r.</w:t>
      </w:r>
      <w:r w:rsidR="0029520B" w:rsidRPr="00ED6CE7">
        <w:rPr>
          <w:rStyle w:val="Odwoanieprzypisukocowego"/>
          <w:rFonts w:ascii="Times New Roman" w:hAnsi="Times New Roman" w:cs="Times New Roman"/>
          <w:sz w:val="24"/>
          <w:szCs w:val="24"/>
        </w:rPr>
        <w:endnoteReference w:id="4"/>
      </w:r>
      <w:r w:rsidR="0029520B" w:rsidRPr="00ED6CE7">
        <w:rPr>
          <w:rFonts w:ascii="Times New Roman" w:hAnsi="Times New Roman" w:cs="Times New Roman"/>
          <w:sz w:val="24"/>
          <w:szCs w:val="24"/>
        </w:rPr>
        <w:t xml:space="preserve"> Po raz kolejny wydłużył się przeciętny okres przeterminowan</w:t>
      </w:r>
      <w:r w:rsidRPr="00ED6CE7">
        <w:rPr>
          <w:rFonts w:ascii="Times New Roman" w:hAnsi="Times New Roman" w:cs="Times New Roman"/>
          <w:sz w:val="24"/>
          <w:szCs w:val="24"/>
        </w:rPr>
        <w:t>ia płatności –  z 3 miesięcy i 3</w:t>
      </w:r>
      <w:r w:rsidR="0029520B" w:rsidRPr="00ED6CE7">
        <w:rPr>
          <w:rFonts w:ascii="Times New Roman" w:hAnsi="Times New Roman" w:cs="Times New Roman"/>
          <w:sz w:val="24"/>
          <w:szCs w:val="24"/>
        </w:rPr>
        <w:t>4 dni w I kwartale 2019 r. do 4 miesięcy i 6 dni II kwartale 2019 r., a średni odsetek niezapłaconych w terminie należnoś</w:t>
      </w:r>
      <w:r w:rsidR="00AC60AD" w:rsidRPr="00ED6CE7">
        <w:rPr>
          <w:rFonts w:ascii="Times New Roman" w:hAnsi="Times New Roman" w:cs="Times New Roman"/>
          <w:sz w:val="24"/>
          <w:szCs w:val="24"/>
        </w:rPr>
        <w:t>ci w portfelach polskich firm wy</w:t>
      </w:r>
      <w:r w:rsidR="0029520B" w:rsidRPr="00ED6CE7">
        <w:rPr>
          <w:rFonts w:ascii="Times New Roman" w:hAnsi="Times New Roman" w:cs="Times New Roman"/>
          <w:sz w:val="24"/>
          <w:szCs w:val="24"/>
        </w:rPr>
        <w:t>rósł z 22,7% do 25,4%</w:t>
      </w:r>
      <w:r w:rsidR="0029520B" w:rsidRPr="00ED6CE7">
        <w:rPr>
          <w:rStyle w:val="Odwoanieprzypisukocowego"/>
          <w:rFonts w:ascii="Times New Roman" w:hAnsi="Times New Roman" w:cs="Times New Roman"/>
          <w:sz w:val="24"/>
          <w:szCs w:val="24"/>
        </w:rPr>
        <w:endnoteReference w:id="5"/>
      </w:r>
      <w:r w:rsidR="0029520B" w:rsidRPr="00ED6CE7">
        <w:rPr>
          <w:rFonts w:ascii="Times New Roman" w:hAnsi="Times New Roman" w:cs="Times New Roman"/>
          <w:sz w:val="24"/>
          <w:szCs w:val="24"/>
        </w:rPr>
        <w:t>.</w:t>
      </w:r>
    </w:p>
    <w:p w14:paraId="7C267A4B" w14:textId="77777777" w:rsidR="0029520B" w:rsidRPr="00ED6CE7" w:rsidRDefault="0029520B" w:rsidP="00C63A53">
      <w:pPr>
        <w:spacing w:after="0" w:line="276" w:lineRule="auto"/>
        <w:rPr>
          <w:rFonts w:ascii="Times New Roman" w:hAnsi="Times New Roman" w:cs="Times New Roman"/>
          <w:sz w:val="24"/>
          <w:szCs w:val="24"/>
        </w:rPr>
      </w:pPr>
    </w:p>
    <w:p w14:paraId="130EAED1" w14:textId="31AD82B0"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Zatory płatnicze, czyli sytuacja, w której przedsiębiorstwa nie otrzymują w terminie zapłaty za swoje towary lub usługi oraz analogiczny w skutkach problem umownego narzucania uczestnikom rynku o słabszej pozycji kontraktowej nieuzasadnionych, zbyt długich terminów płatności, stanowią fundamentalne zagrożenie dla płynności finansowej przedsiębiorstw, hamując ich rozwój, a w skrajnych przypadkach prowadząc nawet do ich upadłości. Skutki zatorów najsilniej odczuwają mikroprzedsiębiorstwa, małe i średnie przedsiębiorstwa (MMŚP), które jako słabsi uczestnicy rynku, są zmuszone do ak</w:t>
      </w:r>
      <w:bookmarkStart w:id="0" w:name="_GoBack"/>
      <w:bookmarkEnd w:id="0"/>
      <w:r w:rsidRPr="00ED6CE7">
        <w:rPr>
          <w:rFonts w:ascii="Times New Roman" w:hAnsi="Times New Roman" w:cs="Times New Roman"/>
          <w:sz w:val="24"/>
          <w:szCs w:val="24"/>
        </w:rPr>
        <w:t xml:space="preserve">ceptowania braku zapłaty w terminie czy absurdalnie długich terminów płatności narzucanych przez kluczowych, dużych klientów. </w:t>
      </w:r>
    </w:p>
    <w:p w14:paraId="6B2E815C" w14:textId="77777777" w:rsidR="0029520B" w:rsidRPr="00ED6CE7" w:rsidRDefault="0029520B" w:rsidP="00C63A53">
      <w:pPr>
        <w:spacing w:after="0" w:line="276" w:lineRule="auto"/>
        <w:rPr>
          <w:rFonts w:ascii="Times New Roman" w:hAnsi="Times New Roman" w:cs="Times New Roman"/>
          <w:sz w:val="24"/>
          <w:szCs w:val="24"/>
        </w:rPr>
      </w:pPr>
    </w:p>
    <w:p w14:paraId="678D990A" w14:textId="47396A38"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Te niekorzystne zjawiska</w:t>
      </w:r>
      <w:r w:rsidR="00BD6986" w:rsidRPr="00ED6CE7">
        <w:rPr>
          <w:rFonts w:ascii="Times New Roman" w:hAnsi="Times New Roman" w:cs="Times New Roman"/>
          <w:sz w:val="24"/>
          <w:szCs w:val="24"/>
        </w:rPr>
        <w:t>,</w:t>
      </w:r>
      <w:r w:rsidRPr="00ED6CE7">
        <w:rPr>
          <w:rFonts w:ascii="Times New Roman" w:hAnsi="Times New Roman" w:cs="Times New Roman"/>
          <w:sz w:val="24"/>
          <w:szCs w:val="24"/>
        </w:rPr>
        <w:t xml:space="preserve"> nie są jednak nowe i nie dotyczą wyłącznie Polski. Już w 2000 r. </w:t>
      </w:r>
      <w:r w:rsidR="00BD6986" w:rsidRPr="00ED6CE7">
        <w:rPr>
          <w:rFonts w:ascii="Times New Roman" w:hAnsi="Times New Roman" w:cs="Times New Roman"/>
          <w:sz w:val="24"/>
          <w:szCs w:val="24"/>
        </w:rPr>
        <w:t>p.n.e. pojawiła się regulacja d</w:t>
      </w:r>
      <w:r w:rsidRPr="00ED6CE7">
        <w:rPr>
          <w:rFonts w:ascii="Times New Roman" w:hAnsi="Times New Roman" w:cs="Times New Roman"/>
          <w:sz w:val="24"/>
          <w:szCs w:val="24"/>
        </w:rPr>
        <w:t>ająca na celu ich ograniczenie na wspólnym ry</w:t>
      </w:r>
      <w:r w:rsidR="00AC60AD" w:rsidRPr="00ED6CE7">
        <w:rPr>
          <w:rFonts w:ascii="Times New Roman" w:hAnsi="Times New Roman" w:cs="Times New Roman"/>
          <w:sz w:val="24"/>
          <w:szCs w:val="24"/>
        </w:rPr>
        <w:t>su</w:t>
      </w:r>
      <w:r w:rsidRPr="00ED6CE7">
        <w:rPr>
          <w:rFonts w:ascii="Times New Roman" w:hAnsi="Times New Roman" w:cs="Times New Roman"/>
          <w:sz w:val="24"/>
          <w:szCs w:val="24"/>
        </w:rPr>
        <w:t>nku europejskim – dyrektyw</w:t>
      </w:r>
      <w:r w:rsidR="00BD6986" w:rsidRPr="00ED6CE7">
        <w:rPr>
          <w:rFonts w:ascii="Times New Roman" w:hAnsi="Times New Roman" w:cs="Times New Roman"/>
          <w:sz w:val="24"/>
          <w:szCs w:val="24"/>
        </w:rPr>
        <w:t>a Parlamentu Europejskiego i Raf</w:t>
      </w:r>
      <w:r w:rsidRPr="00ED6CE7">
        <w:rPr>
          <w:rFonts w:ascii="Times New Roman" w:hAnsi="Times New Roman" w:cs="Times New Roman"/>
          <w:sz w:val="24"/>
          <w:szCs w:val="24"/>
        </w:rPr>
        <w:t>y 2000/35/WE z dnia 29 czerwca 2000 r. w sprawie zwalczania opóźnień w płatnościach w transakcjach handlowych</w:t>
      </w:r>
      <w:r w:rsidRPr="00ED6CE7">
        <w:rPr>
          <w:rStyle w:val="Odwoanieprzypisukocowego"/>
          <w:rFonts w:ascii="Times New Roman" w:hAnsi="Times New Roman" w:cs="Times New Roman"/>
          <w:sz w:val="24"/>
          <w:szCs w:val="24"/>
        </w:rPr>
        <w:endnoteReference w:id="6"/>
      </w:r>
      <w:r w:rsidRPr="00ED6CE7">
        <w:rPr>
          <w:rFonts w:ascii="Times New Roman" w:hAnsi="Times New Roman" w:cs="Times New Roman"/>
          <w:sz w:val="24"/>
          <w:szCs w:val="24"/>
        </w:rPr>
        <w:t>, która została zastąpiona obowiązującą obecnie dyrektywą 2011/7/UE z dnia 16 lutego 2011 r., o takim samym tytule</w:t>
      </w:r>
      <w:r w:rsidRPr="00ED6CE7">
        <w:rPr>
          <w:rStyle w:val="Odwoanieprzypisukocowego"/>
          <w:rFonts w:ascii="Times New Roman" w:hAnsi="Times New Roman" w:cs="Times New Roman"/>
          <w:sz w:val="24"/>
          <w:szCs w:val="24"/>
        </w:rPr>
        <w:endnoteReference w:id="7"/>
      </w:r>
      <w:r w:rsidRPr="00ED6CE7">
        <w:rPr>
          <w:rFonts w:ascii="Times New Roman" w:hAnsi="Times New Roman" w:cs="Times New Roman"/>
          <w:sz w:val="24"/>
          <w:szCs w:val="24"/>
        </w:rPr>
        <w:t xml:space="preserve">. </w:t>
      </w:r>
    </w:p>
    <w:p w14:paraId="722598D6" w14:textId="77777777" w:rsidR="0029520B" w:rsidRPr="00ED6CE7" w:rsidRDefault="0029520B" w:rsidP="00C63A53">
      <w:pPr>
        <w:spacing w:after="0" w:line="276" w:lineRule="auto"/>
        <w:rPr>
          <w:rFonts w:ascii="Times New Roman" w:hAnsi="Times New Roman" w:cs="Times New Roman"/>
          <w:sz w:val="24"/>
          <w:szCs w:val="24"/>
        </w:rPr>
      </w:pPr>
    </w:p>
    <w:p w14:paraId="71645432" w14:textId="00ACB087"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Przepisy dyrektywy 2011/</w:t>
      </w:r>
      <w:r w:rsidR="00BD6986" w:rsidRPr="00ED6CE7">
        <w:rPr>
          <w:rFonts w:ascii="Times New Roman" w:hAnsi="Times New Roman" w:cs="Times New Roman"/>
          <w:sz w:val="24"/>
          <w:szCs w:val="24"/>
        </w:rPr>
        <w:t>7/UE zostały wdrożone w Polsce za</w:t>
      </w:r>
      <w:r w:rsidRPr="00ED6CE7">
        <w:rPr>
          <w:rFonts w:ascii="Times New Roman" w:hAnsi="Times New Roman" w:cs="Times New Roman"/>
          <w:sz w:val="24"/>
          <w:szCs w:val="24"/>
        </w:rPr>
        <w:t>stawą z dnia 8 marca 2013 r. o terminach zapłaty w transakcjach handlowych</w:t>
      </w:r>
      <w:r w:rsidRPr="00ED6CE7">
        <w:rPr>
          <w:rStyle w:val="Odwoanieprzypisukocowego"/>
          <w:rFonts w:ascii="Times New Roman" w:hAnsi="Times New Roman" w:cs="Times New Roman"/>
          <w:sz w:val="24"/>
          <w:szCs w:val="24"/>
        </w:rPr>
        <w:endnoteReference w:id="8"/>
      </w:r>
      <w:r w:rsidRPr="00ED6CE7">
        <w:rPr>
          <w:rFonts w:ascii="Times New Roman" w:hAnsi="Times New Roman" w:cs="Times New Roman"/>
          <w:sz w:val="24"/>
          <w:szCs w:val="24"/>
        </w:rPr>
        <w:t>. Ustawa ta w</w:t>
      </w:r>
      <w:r w:rsidR="00AC60AD" w:rsidRPr="00ED6CE7">
        <w:rPr>
          <w:rFonts w:ascii="Times New Roman" w:hAnsi="Times New Roman" w:cs="Times New Roman"/>
          <w:sz w:val="24"/>
          <w:szCs w:val="24"/>
        </w:rPr>
        <w:t>y</w:t>
      </w:r>
      <w:r w:rsidRPr="00ED6CE7">
        <w:rPr>
          <w:rFonts w:ascii="Times New Roman" w:hAnsi="Times New Roman" w:cs="Times New Roman"/>
          <w:sz w:val="24"/>
          <w:szCs w:val="24"/>
        </w:rPr>
        <w:t xml:space="preserve">prowadziła kilka rozwiązań mających na celu poprawę sytuacji wierzycieli, które jednak w praktyce okazały się niewystarczające i nie przyniosły oczekiwanych rezultatów. </w:t>
      </w:r>
    </w:p>
    <w:p w14:paraId="276531AB" w14:textId="77777777" w:rsidR="0029520B" w:rsidRPr="00ED6CE7" w:rsidRDefault="0029520B" w:rsidP="00C63A53">
      <w:pPr>
        <w:spacing w:after="0" w:line="276" w:lineRule="auto"/>
        <w:rPr>
          <w:rFonts w:ascii="Times New Roman" w:hAnsi="Times New Roman" w:cs="Times New Roman"/>
          <w:sz w:val="24"/>
          <w:szCs w:val="24"/>
        </w:rPr>
      </w:pPr>
    </w:p>
    <w:p w14:paraId="2168C3DD" w14:textId="795516FC"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W re</w:t>
      </w:r>
      <w:r w:rsidR="00BD6986" w:rsidRPr="00ED6CE7">
        <w:rPr>
          <w:rFonts w:ascii="Times New Roman" w:hAnsi="Times New Roman" w:cs="Times New Roman"/>
          <w:sz w:val="24"/>
          <w:szCs w:val="24"/>
        </w:rPr>
        <w:t>d</w:t>
      </w:r>
      <w:r w:rsidRPr="00ED6CE7">
        <w:rPr>
          <w:rFonts w:ascii="Times New Roman" w:hAnsi="Times New Roman" w:cs="Times New Roman"/>
          <w:sz w:val="24"/>
          <w:szCs w:val="24"/>
        </w:rPr>
        <w:t>akcji na pogłębiający się problem zatorów płatniczych</w:t>
      </w:r>
      <w:r w:rsidR="00BD6986" w:rsidRPr="00ED6CE7">
        <w:rPr>
          <w:rFonts w:ascii="Times New Roman" w:hAnsi="Times New Roman" w:cs="Times New Roman"/>
          <w:sz w:val="24"/>
          <w:szCs w:val="24"/>
        </w:rPr>
        <w:t>,</w:t>
      </w:r>
      <w:r w:rsidRPr="00ED6CE7">
        <w:rPr>
          <w:rFonts w:ascii="Times New Roman" w:hAnsi="Times New Roman" w:cs="Times New Roman"/>
          <w:sz w:val="24"/>
          <w:szCs w:val="24"/>
        </w:rPr>
        <w:t xml:space="preserve"> Ministerstwo Przedsiębiorczości i Technologii opublikowało w kwietniu 2018 r. raport pt. „Zatory płatnicze w Polsce. Zielona Księga”, w którym przedstawiono wybrane regulacje prawne dotyczące zwalczania tego zjawiska funkcjonujące w innych państwach Unii Europejskiej oraz propozycje możliwych rozwiązań dla szczegółowych, zidentyfikowanych w raporcie problemów dotykających polskich przedsiębiorców. Propozycje przedstawione w Zielonej Księdze </w:t>
      </w:r>
      <w:r w:rsidR="00AC60AD" w:rsidRPr="00ED6CE7">
        <w:rPr>
          <w:rFonts w:ascii="Times New Roman" w:hAnsi="Times New Roman" w:cs="Times New Roman"/>
          <w:sz w:val="24"/>
          <w:szCs w:val="24"/>
        </w:rPr>
        <w:t xml:space="preserve">Dżungli </w:t>
      </w:r>
      <w:r w:rsidRPr="00ED6CE7">
        <w:rPr>
          <w:rFonts w:ascii="Times New Roman" w:hAnsi="Times New Roman" w:cs="Times New Roman"/>
          <w:sz w:val="24"/>
          <w:szCs w:val="24"/>
        </w:rPr>
        <w:t>stały się punktem wyjścia dla dalszej dyskusji, a następnie prac legislacyjnych z</w:t>
      </w:r>
      <w:r w:rsidR="00BD6986" w:rsidRPr="00ED6CE7">
        <w:rPr>
          <w:rFonts w:ascii="Times New Roman" w:hAnsi="Times New Roman" w:cs="Times New Roman"/>
          <w:sz w:val="24"/>
          <w:szCs w:val="24"/>
        </w:rPr>
        <w:t>a</w:t>
      </w:r>
      <w:r w:rsidRPr="00ED6CE7">
        <w:rPr>
          <w:rFonts w:ascii="Times New Roman" w:hAnsi="Times New Roman" w:cs="Times New Roman"/>
          <w:sz w:val="24"/>
          <w:szCs w:val="24"/>
        </w:rPr>
        <w:t xml:space="preserve">mierzających do wdrożenia nowych, skuteczniejszych rozwiązań mających na celu przeciwdziałanie zatorom </w:t>
      </w:r>
      <w:r w:rsidRPr="00ED6CE7">
        <w:rPr>
          <w:rFonts w:ascii="Times New Roman" w:hAnsi="Times New Roman" w:cs="Times New Roman"/>
          <w:sz w:val="24"/>
          <w:szCs w:val="24"/>
        </w:rPr>
        <w:lastRenderedPageBreak/>
        <w:t>płatniczym, w szczególności wzmocnienie w tym kontekście ochrony prawnej MŚP w stosunku do dużych firm.</w:t>
      </w:r>
    </w:p>
    <w:p w14:paraId="702F448F" w14:textId="77777777" w:rsidR="0029520B" w:rsidRPr="00ED6CE7" w:rsidRDefault="0029520B" w:rsidP="00C63A53">
      <w:pPr>
        <w:spacing w:after="0" w:line="276" w:lineRule="auto"/>
        <w:rPr>
          <w:rFonts w:ascii="Times New Roman" w:hAnsi="Times New Roman" w:cs="Times New Roman"/>
          <w:sz w:val="24"/>
          <w:szCs w:val="24"/>
        </w:rPr>
      </w:pPr>
    </w:p>
    <w:p w14:paraId="537FC38E" w14:textId="2DCB8EBF"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Efektem tych prac jest ustawa z dnia 19 lipca 2019 r. o zmianie niektórych ustaw w celu ograniczenia zatorów płatniczych</w:t>
      </w:r>
      <w:r w:rsidRPr="00ED6CE7">
        <w:rPr>
          <w:rStyle w:val="Odwoanieprzypisukocowego"/>
          <w:rFonts w:ascii="Times New Roman" w:hAnsi="Times New Roman" w:cs="Times New Roman"/>
          <w:sz w:val="24"/>
          <w:szCs w:val="24"/>
        </w:rPr>
        <w:endnoteReference w:id="9"/>
      </w:r>
      <w:r w:rsidRPr="00ED6CE7">
        <w:rPr>
          <w:rFonts w:ascii="Times New Roman" w:hAnsi="Times New Roman" w:cs="Times New Roman"/>
          <w:sz w:val="24"/>
          <w:szCs w:val="24"/>
        </w:rPr>
        <w:t xml:space="preserve">. </w:t>
      </w:r>
      <w:r w:rsidR="00AC60AD" w:rsidRPr="00ED6CE7">
        <w:rPr>
          <w:rFonts w:ascii="Times New Roman" w:hAnsi="Times New Roman" w:cs="Times New Roman"/>
          <w:sz w:val="24"/>
          <w:szCs w:val="24"/>
        </w:rPr>
        <w:t>Najszersze zmiany dotyczą ustaw</w:t>
      </w:r>
      <w:r w:rsidRPr="00ED6CE7">
        <w:rPr>
          <w:rFonts w:ascii="Times New Roman" w:hAnsi="Times New Roman" w:cs="Times New Roman"/>
          <w:sz w:val="24"/>
          <w:szCs w:val="24"/>
        </w:rPr>
        <w:t xml:space="preserve"> z dnia 8 marca 2013 r. o terminach zapłaty w transakcjach handl</w:t>
      </w:r>
      <w:r w:rsidR="00AC60AD" w:rsidRPr="00ED6CE7">
        <w:rPr>
          <w:rFonts w:ascii="Times New Roman" w:hAnsi="Times New Roman" w:cs="Times New Roman"/>
          <w:sz w:val="24"/>
          <w:szCs w:val="24"/>
        </w:rPr>
        <w:t>owych, w której, oprócz gruntow</w:t>
      </w:r>
      <w:r w:rsidR="00A44DD6" w:rsidRPr="00ED6CE7">
        <w:rPr>
          <w:rFonts w:ascii="Times New Roman" w:hAnsi="Times New Roman" w:cs="Times New Roman"/>
          <w:sz w:val="24"/>
          <w:szCs w:val="24"/>
        </w:rPr>
        <w:t>ej nowelizacji przy</w:t>
      </w:r>
      <w:r w:rsidRPr="00ED6CE7">
        <w:rPr>
          <w:rFonts w:ascii="Times New Roman" w:hAnsi="Times New Roman" w:cs="Times New Roman"/>
          <w:sz w:val="24"/>
          <w:szCs w:val="24"/>
        </w:rPr>
        <w:t>pisów dotyczących terminów zapłaty, odsetek i rekompensat, dodano zupełnie nowe regulacje o charakterze administr</w:t>
      </w:r>
      <w:r w:rsidR="00BD6986" w:rsidRPr="00ED6CE7">
        <w:rPr>
          <w:rFonts w:ascii="Times New Roman" w:hAnsi="Times New Roman" w:cs="Times New Roman"/>
          <w:sz w:val="24"/>
          <w:szCs w:val="24"/>
        </w:rPr>
        <w:t>acyjno-prawnym, wprowadzające ku</w:t>
      </w:r>
      <w:r w:rsidRPr="00ED6CE7">
        <w:rPr>
          <w:rFonts w:ascii="Times New Roman" w:hAnsi="Times New Roman" w:cs="Times New Roman"/>
          <w:sz w:val="24"/>
          <w:szCs w:val="24"/>
        </w:rPr>
        <w:t>ry finansowe za nadmierne opóźnianie się ze spełnianiem świadczeń pieniężnych oraz obowiązek ujawniania przez największe firmy informacji o ich praktykach płatniczych. W związku z poszerzeniem zakresu regulacji, zmianie uległ również tytuł ustawy, któremu nadano brzmienie „ustawa o przeciwdziałaniu nadmiernym opóźnieniom w transakcjach handlowych”. Ustawa nowelizująca obejmuje także zmiany w procedurze cywilnej obejmujące uproszczenie postępowania zabezpieczającego w zakresie roszczeń pieniężnych wynikających z transakcji handlowych o wartości nieprzekraczającej 75 tys. zł. Ponad</w:t>
      </w:r>
      <w:r w:rsidR="00A44DD6" w:rsidRPr="00ED6CE7">
        <w:rPr>
          <w:rFonts w:ascii="Times New Roman" w:hAnsi="Times New Roman" w:cs="Times New Roman"/>
          <w:sz w:val="24"/>
          <w:szCs w:val="24"/>
        </w:rPr>
        <w:t>, to</w:t>
      </w:r>
      <w:r w:rsidRPr="00ED6CE7">
        <w:rPr>
          <w:rFonts w:ascii="Times New Roman" w:hAnsi="Times New Roman" w:cs="Times New Roman"/>
          <w:sz w:val="24"/>
          <w:szCs w:val="24"/>
        </w:rPr>
        <w:t xml:space="preserve"> wprowadza w podatkach dochodowych instytucję analogiczną do „ulgi na złe długi” stosowanej w podatku VAT, jak również rozszerza katalog czynów nieuczciwej konkurencji o nieuzasadnione wydłużanie terminów zapłaty.</w:t>
      </w:r>
    </w:p>
    <w:p w14:paraId="6066212D" w14:textId="77777777" w:rsidR="0029520B" w:rsidRPr="00ED6CE7" w:rsidRDefault="0029520B" w:rsidP="00C63A53">
      <w:pPr>
        <w:spacing w:after="0" w:line="276" w:lineRule="auto"/>
        <w:rPr>
          <w:rFonts w:ascii="Times New Roman" w:hAnsi="Times New Roman" w:cs="Times New Roman"/>
          <w:sz w:val="24"/>
          <w:szCs w:val="24"/>
        </w:rPr>
      </w:pPr>
    </w:p>
    <w:p w14:paraId="0A2F049F" w14:textId="30EC43BD"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Nowe przepisy wejdą w życie z dniem 1 stycznia 2020 r., zostało zatem niewiele czasu na podjęcie odpowiednich działań w celu dostosowania się do nowych regulacji i uniknięcia ewentualnych negatywnych konsekwencji związanych z ich naruszeniem. Poniżej przedstawiono kluczowe rozwiązania wprowadzone ustawą o zmianie niektórych ustaw w celu ograniczenia zatorów płatniczych.</w:t>
      </w:r>
    </w:p>
    <w:p w14:paraId="4913A5AC" w14:textId="77777777" w:rsidR="0029520B" w:rsidRPr="00ED6CE7" w:rsidRDefault="0029520B" w:rsidP="00C63A53">
      <w:pPr>
        <w:spacing w:after="0" w:line="276" w:lineRule="auto"/>
        <w:rPr>
          <w:rFonts w:ascii="Times New Roman" w:hAnsi="Times New Roman" w:cs="Times New Roman"/>
          <w:sz w:val="24"/>
          <w:szCs w:val="24"/>
        </w:rPr>
      </w:pPr>
    </w:p>
    <w:p w14:paraId="5F258419" w14:textId="2B949940"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b/>
          <w:sz w:val="24"/>
          <w:szCs w:val="24"/>
        </w:rPr>
        <w:t>Nowe regulacje w zakresie terminów zapłaty w transakcjach handlowych</w:t>
      </w:r>
    </w:p>
    <w:p w14:paraId="78F06E18" w14:textId="5AA8CCAC"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Przede wszystkim  nowelizacja wprowadza istotne zmiany dotyczące terminów zapłaty w transakcjach handlowych</w:t>
      </w:r>
      <w:r w:rsidRPr="00ED6CE7">
        <w:rPr>
          <w:rStyle w:val="Odwoanieprzypisukocowego"/>
          <w:rFonts w:ascii="Times New Roman" w:hAnsi="Times New Roman" w:cs="Times New Roman"/>
          <w:sz w:val="24"/>
          <w:szCs w:val="24"/>
        </w:rPr>
        <w:endnoteReference w:id="10"/>
      </w:r>
      <w:r w:rsidRPr="00ED6CE7">
        <w:rPr>
          <w:rFonts w:ascii="Times New Roman" w:hAnsi="Times New Roman" w:cs="Times New Roman"/>
          <w:sz w:val="24"/>
          <w:szCs w:val="24"/>
        </w:rPr>
        <w:t>. Od 1 stycznia 2020 r. będzie obowiązywać sztywny, 60-dniowy maksymalny umowny termin zapłaty</w:t>
      </w:r>
      <w:r w:rsidRPr="00ED6CE7">
        <w:rPr>
          <w:rStyle w:val="Odwoanieprzypisukocowego"/>
          <w:rFonts w:ascii="Times New Roman" w:hAnsi="Times New Roman" w:cs="Times New Roman"/>
          <w:sz w:val="24"/>
          <w:szCs w:val="24"/>
        </w:rPr>
        <w:endnoteReference w:id="11"/>
      </w:r>
      <w:r w:rsidRPr="00ED6CE7">
        <w:rPr>
          <w:rFonts w:ascii="Times New Roman" w:hAnsi="Times New Roman" w:cs="Times New Roman"/>
          <w:sz w:val="24"/>
          <w:szCs w:val="24"/>
        </w:rPr>
        <w:t xml:space="preserve"> w transakcjach tzw. asymetrycznych, czyli takich, w których zobowiązanym do zapłaty dłużnikiem jest duża firma, a oczekującym na płatność wierzycielem przedsiębiorca należący do sektora MMŚP</w:t>
      </w:r>
      <w:r w:rsidRPr="00ED6CE7">
        <w:rPr>
          <w:rStyle w:val="Odwoanieprzypisukocowego"/>
          <w:rFonts w:ascii="Times New Roman" w:hAnsi="Times New Roman" w:cs="Times New Roman"/>
          <w:sz w:val="24"/>
          <w:szCs w:val="24"/>
        </w:rPr>
        <w:endnoteReference w:id="12"/>
      </w:r>
      <w:r w:rsidR="00BD6986" w:rsidRPr="00ED6CE7">
        <w:rPr>
          <w:rFonts w:ascii="Times New Roman" w:hAnsi="Times New Roman" w:cs="Times New Roman"/>
          <w:sz w:val="24"/>
          <w:szCs w:val="24"/>
        </w:rPr>
        <w:t>. W przypadku, gdyby mimo to sch</w:t>
      </w:r>
      <w:r w:rsidRPr="00ED6CE7">
        <w:rPr>
          <w:rFonts w:ascii="Times New Roman" w:hAnsi="Times New Roman" w:cs="Times New Roman"/>
          <w:sz w:val="24"/>
          <w:szCs w:val="24"/>
        </w:rPr>
        <w:t xml:space="preserve">rony ustaliły w umowie termin </w:t>
      </w:r>
      <w:r w:rsidR="00A44DD6" w:rsidRPr="00ED6CE7">
        <w:rPr>
          <w:rFonts w:ascii="Times New Roman" w:hAnsi="Times New Roman" w:cs="Times New Roman"/>
          <w:sz w:val="24"/>
          <w:szCs w:val="24"/>
        </w:rPr>
        <w:t>dłuższy, to „automatycznie”, z n</w:t>
      </w:r>
      <w:r w:rsidRPr="00ED6CE7">
        <w:rPr>
          <w:rFonts w:ascii="Times New Roman" w:hAnsi="Times New Roman" w:cs="Times New Roman"/>
          <w:sz w:val="24"/>
          <w:szCs w:val="24"/>
        </w:rPr>
        <w:t>ocy ustawy, w jego miejsce zastosowanie znajdzie termin 60</w:t>
      </w:r>
      <w:r w:rsidR="00BD6986" w:rsidRPr="00ED6CE7">
        <w:rPr>
          <w:rFonts w:ascii="Times New Roman" w:hAnsi="Times New Roman" w:cs="Times New Roman"/>
          <w:sz w:val="24"/>
          <w:szCs w:val="24"/>
        </w:rPr>
        <w:t xml:space="preserve"> – </w:t>
      </w:r>
      <w:r w:rsidRPr="00ED6CE7">
        <w:rPr>
          <w:rFonts w:ascii="Times New Roman" w:hAnsi="Times New Roman" w:cs="Times New Roman"/>
          <w:sz w:val="24"/>
          <w:szCs w:val="24"/>
        </w:rPr>
        <w:t xml:space="preserve">dniowy. Całkowicie wykluczona zostanie zatem możliwość narzucania MMŚP przez duże firmy umownych terminów płatności dłuższych niż 60 dni. </w:t>
      </w:r>
    </w:p>
    <w:p w14:paraId="11C787A9" w14:textId="77777777" w:rsidR="0029520B" w:rsidRPr="00ED6CE7" w:rsidRDefault="0029520B" w:rsidP="00C63A53">
      <w:pPr>
        <w:spacing w:after="0" w:line="276" w:lineRule="auto"/>
        <w:rPr>
          <w:rFonts w:ascii="Times New Roman" w:hAnsi="Times New Roman" w:cs="Times New Roman"/>
          <w:sz w:val="24"/>
          <w:szCs w:val="24"/>
        </w:rPr>
      </w:pPr>
    </w:p>
    <w:p w14:paraId="033720C2" w14:textId="298CA8EA"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Realizując cel szczególnej ochrony MMŚP wprowadzono p</w:t>
      </w:r>
      <w:r w:rsidR="00A44DD6" w:rsidRPr="00ED6CE7">
        <w:rPr>
          <w:rFonts w:ascii="Times New Roman" w:hAnsi="Times New Roman" w:cs="Times New Roman"/>
          <w:sz w:val="24"/>
          <w:szCs w:val="24"/>
        </w:rPr>
        <w:t>onadto przepisy, zgodnie z ni</w:t>
      </w:r>
      <w:r w:rsidRPr="00ED6CE7">
        <w:rPr>
          <w:rFonts w:ascii="Times New Roman" w:hAnsi="Times New Roman" w:cs="Times New Roman"/>
          <w:sz w:val="24"/>
          <w:szCs w:val="24"/>
        </w:rPr>
        <w:t>mi:</w:t>
      </w:r>
    </w:p>
    <w:p w14:paraId="6732D300" w14:textId="77777777" w:rsidR="0029520B" w:rsidRPr="00ED6CE7" w:rsidRDefault="0029520B" w:rsidP="00C63A53">
      <w:pPr>
        <w:pStyle w:val="Akapitzlist"/>
        <w:numPr>
          <w:ilvl w:val="0"/>
          <w:numId w:val="21"/>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dłużnik będący dużym przedsiębiorcą nie może powoływać się przeciwko wierzycielowi będącemu MMŚP na jego oświadczenie, że nie należy on do grupy MMŚP, chyba że mimo dołożenia należytej staranności nie wiedział o nieprawdziwości tego oświadczenia;</w:t>
      </w:r>
    </w:p>
    <w:p w14:paraId="7AED597D" w14:textId="0CE721F5" w:rsidR="0029520B" w:rsidRPr="00ED6CE7" w:rsidRDefault="0029520B" w:rsidP="001F4350">
      <w:pPr>
        <w:pStyle w:val="Akapitzlist"/>
        <w:numPr>
          <w:ilvl w:val="0"/>
          <w:numId w:val="28"/>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dłużnik będący dużym przedsiębiorcą będzie zobowiązany do składania drugiej stronie transakcji handlowej oświadczenia o posiadaniu statusu dużego przedsiębiorcy – w formie, w jakiej jest zawierana transakcja handlowa, najpóźniej w momencie jej </w:t>
      </w:r>
      <w:r w:rsidRPr="00ED6CE7">
        <w:rPr>
          <w:rFonts w:ascii="Times New Roman" w:hAnsi="Times New Roman" w:cs="Times New Roman"/>
          <w:sz w:val="24"/>
          <w:szCs w:val="24"/>
        </w:rPr>
        <w:lastRenderedPageBreak/>
        <w:t>zawarcia (brak oświadczenia lub złożenie oświadczenia niezgodnego ze stanem rzeczywistym stanowić będzie wykroczenie zagrożone będzie karą grzywny).</w:t>
      </w:r>
    </w:p>
    <w:p w14:paraId="2EAC1F82" w14:textId="77777777" w:rsidR="0029520B" w:rsidRPr="00ED6CE7" w:rsidRDefault="0029520B" w:rsidP="00C63A53">
      <w:pPr>
        <w:spacing w:after="0" w:line="276" w:lineRule="auto"/>
        <w:rPr>
          <w:rFonts w:ascii="Times New Roman" w:hAnsi="Times New Roman" w:cs="Times New Roman"/>
          <w:sz w:val="24"/>
          <w:szCs w:val="24"/>
        </w:rPr>
      </w:pPr>
    </w:p>
    <w:p w14:paraId="151DE559" w14:textId="77777777"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Możliwość umownego ustalenia terminu płatności dłuższego niż 60 dni, pod warunkiem, że takie ustalenie nie będzie rażąco nieuczciwe wobec wierzyciela, utrzymana zostanie w odniesieniu do pozostałych transakcji (nie będących transakcjami „asymetrycznymi”), czyli w stosunkach pomiędzy dużymi przedsiębiorcami lub pomiędzy przedsiębiorcami z sektora MMŚP, a także w sytuacji, gdy dłużnikiem dużego przedsiębiorstwa będzie MMŚP. </w:t>
      </w:r>
    </w:p>
    <w:p w14:paraId="6666A89D" w14:textId="3898F63D"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Inaczej jednak niż dotychczas, w przypadku gdy dojdzie do postępowania przed sądem, to na dłużniku będzie spoczywał ciężar udowodnienia, że ustalony w umowie dłuższy niż 60-dniowy termin, nie b</w:t>
      </w:r>
      <w:r w:rsidR="001F4350" w:rsidRPr="00ED6CE7">
        <w:rPr>
          <w:rFonts w:ascii="Times New Roman" w:hAnsi="Times New Roman" w:cs="Times New Roman"/>
          <w:sz w:val="24"/>
          <w:szCs w:val="24"/>
        </w:rPr>
        <w:t xml:space="preserve">ył </w:t>
      </w:r>
      <w:r w:rsidR="00A44DD6" w:rsidRPr="00ED6CE7">
        <w:rPr>
          <w:rFonts w:ascii="Times New Roman" w:hAnsi="Times New Roman" w:cs="Times New Roman"/>
          <w:sz w:val="24"/>
          <w:szCs w:val="24"/>
        </w:rPr>
        <w:t xml:space="preserve">nie </w:t>
      </w:r>
      <w:r w:rsidR="001F4350" w:rsidRPr="00ED6CE7">
        <w:rPr>
          <w:rFonts w:ascii="Times New Roman" w:hAnsi="Times New Roman" w:cs="Times New Roman"/>
          <w:sz w:val="24"/>
          <w:szCs w:val="24"/>
        </w:rPr>
        <w:t>wobec wierzyciela rażąco niepo</w:t>
      </w:r>
      <w:r w:rsidRPr="00ED6CE7">
        <w:rPr>
          <w:rFonts w:ascii="Times New Roman" w:hAnsi="Times New Roman" w:cs="Times New Roman"/>
          <w:sz w:val="24"/>
          <w:szCs w:val="24"/>
        </w:rPr>
        <w:t>czciwy. Takie odwrócenie ciężaru dowodu znacznie poprawia sytuację wierzycieli w porównaniu do obecnego stanu prawnego, gdzie to wierzyciel, który kwestionuje ustalony w umowie termin, musi wykazać jego rażącą nie</w:t>
      </w:r>
      <w:r w:rsidR="001F4350" w:rsidRPr="00ED6CE7">
        <w:rPr>
          <w:rFonts w:ascii="Times New Roman" w:hAnsi="Times New Roman" w:cs="Times New Roman"/>
          <w:sz w:val="24"/>
          <w:szCs w:val="24"/>
        </w:rPr>
        <w:t xml:space="preserve"> </w:t>
      </w:r>
      <w:r w:rsidRPr="00ED6CE7">
        <w:rPr>
          <w:rFonts w:ascii="Times New Roman" w:hAnsi="Times New Roman" w:cs="Times New Roman"/>
          <w:sz w:val="24"/>
          <w:szCs w:val="24"/>
        </w:rPr>
        <w:t>uczciwość</w:t>
      </w:r>
      <w:r w:rsidRPr="00ED6CE7">
        <w:rPr>
          <w:rStyle w:val="Odwoanieprzypisukocowego"/>
          <w:rFonts w:ascii="Times New Roman" w:hAnsi="Times New Roman" w:cs="Times New Roman"/>
          <w:sz w:val="24"/>
          <w:szCs w:val="24"/>
        </w:rPr>
        <w:endnoteReference w:id="13"/>
      </w:r>
      <w:r w:rsidRPr="00ED6CE7">
        <w:rPr>
          <w:rFonts w:ascii="Times New Roman" w:hAnsi="Times New Roman" w:cs="Times New Roman"/>
          <w:sz w:val="24"/>
          <w:szCs w:val="24"/>
        </w:rPr>
        <w:t>. Jednocześnie, nowelizacja doprecyzowuje i uzupełnia katalog przykładowych okoliczności</w:t>
      </w:r>
      <w:r w:rsidR="00A44DD6" w:rsidRPr="00ED6CE7">
        <w:rPr>
          <w:rFonts w:ascii="Times New Roman" w:hAnsi="Times New Roman" w:cs="Times New Roman"/>
          <w:sz w:val="24"/>
          <w:szCs w:val="24"/>
        </w:rPr>
        <w:t>owych</w:t>
      </w:r>
      <w:r w:rsidRPr="00ED6CE7">
        <w:rPr>
          <w:rFonts w:ascii="Times New Roman" w:hAnsi="Times New Roman" w:cs="Times New Roman"/>
          <w:sz w:val="24"/>
          <w:szCs w:val="24"/>
        </w:rPr>
        <w:t>, które pow</w:t>
      </w:r>
      <w:r w:rsidR="00A44DD6" w:rsidRPr="00ED6CE7">
        <w:rPr>
          <w:rFonts w:ascii="Times New Roman" w:hAnsi="Times New Roman" w:cs="Times New Roman"/>
          <w:sz w:val="24"/>
          <w:szCs w:val="24"/>
        </w:rPr>
        <w:t xml:space="preserve">inny być brane pod uwagę, przy </w:t>
      </w:r>
      <w:r w:rsidRPr="00ED6CE7">
        <w:rPr>
          <w:rFonts w:ascii="Times New Roman" w:hAnsi="Times New Roman" w:cs="Times New Roman"/>
          <w:sz w:val="24"/>
          <w:szCs w:val="24"/>
        </w:rPr>
        <w:t>cenie czy ustalony w umowie termin zapłaty był rażąco nieuczciwy wobec wierzyciela</w:t>
      </w:r>
      <w:r w:rsidRPr="00ED6CE7">
        <w:rPr>
          <w:rStyle w:val="Odwoanieprzypisukocowego"/>
          <w:rFonts w:ascii="Times New Roman" w:hAnsi="Times New Roman" w:cs="Times New Roman"/>
          <w:sz w:val="24"/>
          <w:szCs w:val="24"/>
        </w:rPr>
        <w:endnoteReference w:id="14"/>
      </w:r>
      <w:r w:rsidRPr="00ED6CE7">
        <w:rPr>
          <w:rFonts w:ascii="Times New Roman" w:hAnsi="Times New Roman" w:cs="Times New Roman"/>
          <w:sz w:val="24"/>
          <w:szCs w:val="24"/>
        </w:rPr>
        <w:t xml:space="preserve">. </w:t>
      </w:r>
    </w:p>
    <w:p w14:paraId="1C419226" w14:textId="77777777" w:rsidR="0029520B" w:rsidRPr="00ED6CE7" w:rsidRDefault="0029520B" w:rsidP="00C63A53">
      <w:pPr>
        <w:spacing w:after="0" w:line="276" w:lineRule="auto"/>
        <w:rPr>
          <w:rFonts w:ascii="Times New Roman" w:hAnsi="Times New Roman" w:cs="Times New Roman"/>
          <w:sz w:val="24"/>
          <w:szCs w:val="24"/>
        </w:rPr>
      </w:pPr>
    </w:p>
    <w:p w14:paraId="359D2C80" w14:textId="3755ED05"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Kolejne, poza odwróceniem ciężaru dowodu, nowe rozwiązania, mające na celu „zniechęcenie” wierzycieli do umownego narzucania terminów płatności dłuższych niż 60 dni, to:</w:t>
      </w:r>
    </w:p>
    <w:p w14:paraId="514AF30B" w14:textId="3BA4378D" w:rsidR="0029520B" w:rsidRPr="00ED6CE7" w:rsidRDefault="0029520B" w:rsidP="00C63A53">
      <w:pPr>
        <w:pStyle w:val="Akapitzlist"/>
        <w:numPr>
          <w:ilvl w:val="0"/>
          <w:numId w:val="20"/>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wprowadzenie zasady, zgodnie z którą ustalenia, iż termin zapłaty był rażąco nieuczciwy, wierzyciel może żądać w ciągu 3 lat od dnia, w którym nastąpiła zapłata lub w którym zgodnie z ustawą powinna była nastąpić – wierzyciele będą mogli zakwestionować przedłużony umownie ponad 60 dni termin i dochodzić odsetek za opóźnienie w transakcjach handlowych oraz rekompensat nawet już po pełnym wykonaniu (formalnym zakończeniu) umowy; rozwiązanie to niewątpliwie poprawi komfort wierzycieli, którzy będą mogli występować z wyżej wskazanymi roszczeniami bez obaw o naruszenie bieżących relacji handlowych z klientami, którym dostarczają swoje towary lub świadczą usługi; </w:t>
      </w:r>
    </w:p>
    <w:p w14:paraId="28E5B24D" w14:textId="740105F3" w:rsidR="0029520B" w:rsidRPr="00ED6CE7" w:rsidRDefault="0029520B" w:rsidP="00C63A53">
      <w:pPr>
        <w:pStyle w:val="Akapitzlist"/>
        <w:numPr>
          <w:ilvl w:val="0"/>
          <w:numId w:val="20"/>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sankcja nieważności dla ewentualnego zrzeczenia s</w:t>
      </w:r>
      <w:r w:rsidR="001F4350" w:rsidRPr="00ED6CE7">
        <w:rPr>
          <w:rFonts w:ascii="Times New Roman" w:hAnsi="Times New Roman" w:cs="Times New Roman"/>
          <w:sz w:val="24"/>
          <w:szCs w:val="24"/>
        </w:rPr>
        <w:t>ię wierzyciela roszczenia o ustrze</w:t>
      </w:r>
      <w:r w:rsidRPr="00ED6CE7">
        <w:rPr>
          <w:rFonts w:ascii="Times New Roman" w:hAnsi="Times New Roman" w:cs="Times New Roman"/>
          <w:sz w:val="24"/>
          <w:szCs w:val="24"/>
        </w:rPr>
        <w:t>lenie, że termin zapłaty jest rażąco nieuczciwy;</w:t>
      </w:r>
    </w:p>
    <w:p w14:paraId="213B0D6D" w14:textId="72EF7E67" w:rsidR="0029520B" w:rsidRPr="00ED6CE7" w:rsidRDefault="0029520B" w:rsidP="00C63A53">
      <w:pPr>
        <w:pStyle w:val="Akapitzlist"/>
        <w:numPr>
          <w:ilvl w:val="0"/>
          <w:numId w:val="20"/>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możliwość odstąpienia przez wierzyciela od umowy albo wypowiedzenia umowy, gdy określony w niej termin zapłaty przekracza 120 dni liczonych od dnia doręczenia dłużnikowi faktury lub rachunku potwierdzających dostawę towaru lub wykonanie usługi, jeżeli ustalony termin jest rażąco nieuczciwy wobec wierzyciela. </w:t>
      </w:r>
    </w:p>
    <w:p w14:paraId="1A908011" w14:textId="77777777" w:rsidR="0029520B" w:rsidRPr="00ED6CE7" w:rsidRDefault="0029520B" w:rsidP="00C63A53">
      <w:pPr>
        <w:spacing w:after="0" w:line="276" w:lineRule="auto"/>
        <w:rPr>
          <w:rFonts w:ascii="Times New Roman" w:hAnsi="Times New Roman" w:cs="Times New Roman"/>
          <w:sz w:val="24"/>
          <w:szCs w:val="24"/>
        </w:rPr>
      </w:pPr>
    </w:p>
    <w:p w14:paraId="788C286B" w14:textId="064241F1"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Jeżeli chodzi o transakcje, w których dłużnikiem jest podmiot publiczny</w:t>
      </w:r>
      <w:r w:rsidRPr="00ED6CE7">
        <w:rPr>
          <w:rStyle w:val="Odwoanieprzypisukocowego"/>
          <w:rFonts w:ascii="Times New Roman" w:hAnsi="Times New Roman" w:cs="Times New Roman"/>
          <w:sz w:val="24"/>
          <w:szCs w:val="24"/>
        </w:rPr>
        <w:endnoteReference w:id="15"/>
      </w:r>
      <w:r w:rsidRPr="00ED6CE7">
        <w:rPr>
          <w:rFonts w:ascii="Times New Roman" w:hAnsi="Times New Roman" w:cs="Times New Roman"/>
          <w:sz w:val="24"/>
          <w:szCs w:val="24"/>
        </w:rPr>
        <w:t>, nowelizacja przewiduje możliwość ustalenia w umowie maksymalnie 30-dniowego terminu zapłaty, bez istniejącej obecnie możliwości przedłużenia do 60 dni</w:t>
      </w:r>
      <w:r w:rsidR="001F4350" w:rsidRPr="00ED6CE7">
        <w:rPr>
          <w:rFonts w:ascii="Times New Roman" w:hAnsi="Times New Roman" w:cs="Times New Roman"/>
          <w:sz w:val="24"/>
          <w:szCs w:val="24"/>
        </w:rPr>
        <w:t xml:space="preserve"> i 60 nocy</w:t>
      </w:r>
      <w:r w:rsidRPr="00ED6CE7">
        <w:rPr>
          <w:rFonts w:ascii="Times New Roman" w:hAnsi="Times New Roman" w:cs="Times New Roman"/>
          <w:sz w:val="24"/>
          <w:szCs w:val="24"/>
        </w:rPr>
        <w:t>. Maksymalny 60-dniowy termin zapłaty zostanie utrzymany jedynie w odniesieniu do transakcji z podmiotem publicznym, będącym podmiotem leczniczym</w:t>
      </w:r>
      <w:r w:rsidRPr="00ED6CE7">
        <w:rPr>
          <w:rStyle w:val="Odwoanieprzypisukocowego"/>
          <w:rFonts w:ascii="Times New Roman" w:hAnsi="Times New Roman" w:cs="Times New Roman"/>
          <w:sz w:val="24"/>
          <w:szCs w:val="24"/>
        </w:rPr>
        <w:endnoteReference w:id="16"/>
      </w:r>
      <w:r w:rsidRPr="00ED6CE7">
        <w:rPr>
          <w:rFonts w:ascii="Times New Roman" w:hAnsi="Times New Roman" w:cs="Times New Roman"/>
          <w:sz w:val="24"/>
          <w:szCs w:val="24"/>
        </w:rPr>
        <w:t>.</w:t>
      </w:r>
    </w:p>
    <w:p w14:paraId="348DD1DC" w14:textId="77777777" w:rsidR="0029520B" w:rsidRPr="00ED6CE7" w:rsidRDefault="0029520B" w:rsidP="00C63A53">
      <w:pPr>
        <w:spacing w:after="0" w:line="276" w:lineRule="auto"/>
        <w:rPr>
          <w:rFonts w:ascii="Times New Roman" w:hAnsi="Times New Roman" w:cs="Times New Roman"/>
          <w:sz w:val="24"/>
          <w:szCs w:val="24"/>
        </w:rPr>
      </w:pPr>
    </w:p>
    <w:p w14:paraId="6479391B" w14:textId="735FF133" w:rsidR="0029520B" w:rsidRPr="00ED6CE7" w:rsidRDefault="0029520B"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Wyższe odsetki ustawowe za op</w:t>
      </w:r>
      <w:r w:rsidR="001F4350" w:rsidRPr="00ED6CE7">
        <w:rPr>
          <w:rFonts w:ascii="Times New Roman" w:hAnsi="Times New Roman" w:cs="Times New Roman"/>
          <w:b/>
          <w:sz w:val="24"/>
          <w:szCs w:val="24"/>
        </w:rPr>
        <w:t>róż</w:t>
      </w:r>
      <w:r w:rsidRPr="00ED6CE7">
        <w:rPr>
          <w:rFonts w:ascii="Times New Roman" w:hAnsi="Times New Roman" w:cs="Times New Roman"/>
          <w:b/>
          <w:sz w:val="24"/>
          <w:szCs w:val="24"/>
        </w:rPr>
        <w:t xml:space="preserve">nienie </w:t>
      </w:r>
    </w:p>
    <w:p w14:paraId="11966333" w14:textId="09D58927"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lastRenderedPageBreak/>
        <w:t xml:space="preserve">Kolejnym środkiem mającym na celu wzmocnienie ochrony wierzyciela w transakcjach handlowych jest zwiększenie poziomu odsetek przysługujących mu od dłużnika w przypadku braku zapłaty w terminie. Obecnie wysokość odsetek ustawowych za opóźnienie w transakcjach handlowych równa jest sumie stopy referencyjnej Narodowego Banku Polskiego (NBP) i 8 p.p., a zatem wynosi 9,5% w skali roku. </w:t>
      </w:r>
      <w:r w:rsidRPr="00A70185">
        <w:rPr>
          <w:rFonts w:ascii="Times New Roman" w:hAnsi="Times New Roman" w:cs="Times New Roman"/>
          <w:sz w:val="24"/>
          <w:szCs w:val="24"/>
        </w:rPr>
        <w:t>Od 1 stycznia 2020 r. stawka odsetek równa będzie sumie stopy referencyjnej NBP i 10 p.p., wzrośnie zatem do 11,5%.</w:t>
      </w:r>
      <w:r w:rsidRPr="00ED6CE7">
        <w:rPr>
          <w:rFonts w:ascii="Times New Roman" w:hAnsi="Times New Roman" w:cs="Times New Roman"/>
          <w:sz w:val="24"/>
          <w:szCs w:val="24"/>
        </w:rPr>
        <w:t xml:space="preserve"> Jedynie w transakcjach, w których dłużnikiem będzie podmiot publiczny będący podmiotem leczniczym, odsetki pozostaną na dotychczasowym poziomie stopy referencyjnej NBP </w:t>
      </w:r>
      <w:r w:rsidRPr="00ED6CE7">
        <w:rPr>
          <w:rFonts w:ascii="Times New Roman" w:hAnsi="Times New Roman" w:cs="Times New Roman"/>
          <w:sz w:val="24"/>
          <w:szCs w:val="24"/>
        </w:rPr>
        <w:br/>
        <w:t xml:space="preserve">i 8 p.p. </w:t>
      </w:r>
    </w:p>
    <w:p w14:paraId="3FB8BBEA" w14:textId="77777777" w:rsidR="0029520B" w:rsidRPr="00ED6CE7" w:rsidRDefault="0029520B" w:rsidP="00C63A53">
      <w:pPr>
        <w:spacing w:after="0" w:line="276" w:lineRule="auto"/>
        <w:rPr>
          <w:rFonts w:ascii="Times New Roman" w:hAnsi="Times New Roman" w:cs="Times New Roman"/>
          <w:sz w:val="24"/>
          <w:szCs w:val="24"/>
        </w:rPr>
      </w:pPr>
    </w:p>
    <w:p w14:paraId="2947A31D" w14:textId="1F309818"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Reguły naliczania odsetek nie ulegną zmianie. Tak jak dotychczas, będą one przysługiwać za okres od dnia wymagalności świadczenia pieniężnego, cz</w:t>
      </w:r>
      <w:r w:rsidR="001F4350" w:rsidRPr="00ED6CE7">
        <w:rPr>
          <w:rFonts w:ascii="Times New Roman" w:hAnsi="Times New Roman" w:cs="Times New Roman"/>
          <w:sz w:val="24"/>
          <w:szCs w:val="24"/>
        </w:rPr>
        <w:t>yli w praktyce od dnia, w której</w:t>
      </w:r>
      <w:r w:rsidRPr="00ED6CE7">
        <w:rPr>
          <w:rFonts w:ascii="Times New Roman" w:hAnsi="Times New Roman" w:cs="Times New Roman"/>
          <w:sz w:val="24"/>
          <w:szCs w:val="24"/>
        </w:rPr>
        <w:t xml:space="preserve"> upływa ustalony przez strony w umowie termin zapłaty (ewentualnie termin maksymalny wynikający z ustawy, jeżeli termin umowny został ustalony z naruszeniem ustawy), do dnia zapłaty – pod warunkiem, że wierzyciel spełnił swoje świadczenie na rzecz dłużnika, czyli dostarczył towar lub wykonał usługę. W przypadku b</w:t>
      </w:r>
      <w:r w:rsidR="001F4350" w:rsidRPr="00ED6CE7">
        <w:rPr>
          <w:rFonts w:ascii="Times New Roman" w:hAnsi="Times New Roman" w:cs="Times New Roman"/>
          <w:sz w:val="24"/>
          <w:szCs w:val="24"/>
        </w:rPr>
        <w:t>a</w:t>
      </w:r>
      <w:r w:rsidRPr="00ED6CE7">
        <w:rPr>
          <w:rFonts w:ascii="Times New Roman" w:hAnsi="Times New Roman" w:cs="Times New Roman"/>
          <w:sz w:val="24"/>
          <w:szCs w:val="24"/>
        </w:rPr>
        <w:t>raku wskazania w umowie term</w:t>
      </w:r>
      <w:r w:rsidR="001F4350" w:rsidRPr="00ED6CE7">
        <w:rPr>
          <w:rFonts w:ascii="Times New Roman" w:hAnsi="Times New Roman" w:cs="Times New Roman"/>
          <w:sz w:val="24"/>
          <w:szCs w:val="24"/>
        </w:rPr>
        <w:t xml:space="preserve">inu zapłaty, </w:t>
      </w:r>
      <w:r w:rsidRPr="00ED6CE7">
        <w:rPr>
          <w:rFonts w:ascii="Times New Roman" w:hAnsi="Times New Roman" w:cs="Times New Roman"/>
          <w:sz w:val="24"/>
          <w:szCs w:val="24"/>
        </w:rPr>
        <w:t>setki za opóźnienie w transakcjach handlowych przysługują wierz</w:t>
      </w:r>
      <w:r w:rsidR="001F4350" w:rsidRPr="00ED6CE7">
        <w:rPr>
          <w:rFonts w:ascii="Times New Roman" w:hAnsi="Times New Roman" w:cs="Times New Roman"/>
          <w:sz w:val="24"/>
          <w:szCs w:val="24"/>
        </w:rPr>
        <w:t>ycielowi po upływie 30 dni licz</w:t>
      </w:r>
      <w:r w:rsidRPr="00ED6CE7">
        <w:rPr>
          <w:rFonts w:ascii="Times New Roman" w:hAnsi="Times New Roman" w:cs="Times New Roman"/>
          <w:sz w:val="24"/>
          <w:szCs w:val="24"/>
        </w:rPr>
        <w:t>nych od dnia spełnienia przez niego świadczenia, do dnia zapłaty.</w:t>
      </w:r>
    </w:p>
    <w:p w14:paraId="2D0DD56D" w14:textId="77777777" w:rsidR="0029520B" w:rsidRPr="00ED6CE7" w:rsidRDefault="0029520B" w:rsidP="00C63A53">
      <w:pPr>
        <w:spacing w:after="0" w:line="276" w:lineRule="auto"/>
        <w:rPr>
          <w:rFonts w:ascii="Times New Roman" w:hAnsi="Times New Roman" w:cs="Times New Roman"/>
          <w:sz w:val="24"/>
          <w:szCs w:val="24"/>
        </w:rPr>
      </w:pPr>
    </w:p>
    <w:p w14:paraId="26BD14D1" w14:textId="18C4B640" w:rsidR="0029520B" w:rsidRPr="00ED6CE7" w:rsidRDefault="0029520B"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Zróżnicowane stawki rekompensaty za koszty odzyskiwania należności</w:t>
      </w:r>
    </w:p>
    <w:p w14:paraId="6C2058C2" w14:textId="0A1507C5"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Nowelizacja wprowadza zmiany także w zakresie wysokości prz</w:t>
      </w:r>
      <w:r w:rsidR="001F4350" w:rsidRPr="00ED6CE7">
        <w:rPr>
          <w:rFonts w:ascii="Times New Roman" w:hAnsi="Times New Roman" w:cs="Times New Roman"/>
          <w:sz w:val="24"/>
          <w:szCs w:val="24"/>
        </w:rPr>
        <w:t>ysługującej wierzycielowi od bez</w:t>
      </w:r>
      <w:r w:rsidRPr="00ED6CE7">
        <w:rPr>
          <w:rFonts w:ascii="Times New Roman" w:hAnsi="Times New Roman" w:cs="Times New Roman"/>
          <w:sz w:val="24"/>
          <w:szCs w:val="24"/>
        </w:rPr>
        <w:t>sumiennego dłużnika rekompensaty za koszty odzyskiwania należności. Obecnie obowiązująca kwota stanowiąca równowartość 40 euro</w:t>
      </w:r>
      <w:r w:rsidRPr="00ED6CE7">
        <w:rPr>
          <w:rStyle w:val="Odwoanieprzypisukocowego"/>
          <w:rFonts w:ascii="Times New Roman" w:hAnsi="Times New Roman" w:cs="Times New Roman"/>
          <w:sz w:val="24"/>
          <w:szCs w:val="24"/>
        </w:rPr>
        <w:endnoteReference w:id="17"/>
      </w:r>
      <w:r w:rsidRPr="00ED6CE7">
        <w:rPr>
          <w:rFonts w:ascii="Times New Roman" w:hAnsi="Times New Roman" w:cs="Times New Roman"/>
          <w:sz w:val="24"/>
          <w:szCs w:val="24"/>
        </w:rPr>
        <w:t>, będzie miała zastosowanie tylko do świadczeń pieniężnych nie przekraczających 5 000 zł</w:t>
      </w:r>
      <w:r w:rsidR="001F4350" w:rsidRPr="00ED6CE7">
        <w:rPr>
          <w:rFonts w:ascii="Times New Roman" w:hAnsi="Times New Roman" w:cs="Times New Roman"/>
          <w:sz w:val="24"/>
          <w:szCs w:val="24"/>
        </w:rPr>
        <w:t>.</w:t>
      </w:r>
      <w:r w:rsidRPr="00ED6CE7">
        <w:rPr>
          <w:rFonts w:ascii="Times New Roman" w:hAnsi="Times New Roman" w:cs="Times New Roman"/>
          <w:sz w:val="24"/>
          <w:szCs w:val="24"/>
        </w:rPr>
        <w:t>, w odniesieniu natomiast do świadczeń o wyższej wartości będą  obowiązywać dwie dodatkowe, wyższe stawki rekompensaty. Od 1 stycznia 2020 r. będą funkcjonować zatem 3 stawki rekompensaty, w wysokości równowartości:</w:t>
      </w:r>
    </w:p>
    <w:p w14:paraId="03FB8BDC" w14:textId="72E7247E" w:rsidR="0029520B" w:rsidRPr="00ED6CE7" w:rsidRDefault="0029520B" w:rsidP="00C63A53">
      <w:pPr>
        <w:pStyle w:val="Akapitzlist"/>
        <w:numPr>
          <w:ilvl w:val="0"/>
          <w:numId w:val="22"/>
        </w:numPr>
        <w:spacing w:after="0" w:line="276" w:lineRule="auto"/>
        <w:rPr>
          <w:rFonts w:ascii="Times New Roman" w:hAnsi="Times New Roman" w:cs="Times New Roman"/>
          <w:sz w:val="24"/>
          <w:szCs w:val="24"/>
        </w:rPr>
      </w:pPr>
      <w:r w:rsidRPr="00ED6CE7">
        <w:rPr>
          <w:rFonts w:ascii="Times New Roman" w:hAnsi="Times New Roman" w:cs="Times New Roman"/>
          <w:b/>
          <w:sz w:val="24"/>
          <w:szCs w:val="24"/>
        </w:rPr>
        <w:t>40 euro</w:t>
      </w:r>
      <w:r w:rsidRPr="00ED6CE7">
        <w:rPr>
          <w:rFonts w:ascii="Times New Roman" w:hAnsi="Times New Roman" w:cs="Times New Roman"/>
          <w:sz w:val="24"/>
          <w:szCs w:val="24"/>
        </w:rPr>
        <w:t xml:space="preserve"> – gdy świadczenie pieniężne nie będzie przekraczać 5 000 złotych;</w:t>
      </w:r>
    </w:p>
    <w:p w14:paraId="6060E225" w14:textId="6AEE818C" w:rsidR="0029520B" w:rsidRPr="00ED6CE7" w:rsidRDefault="0029520B" w:rsidP="00C63A53">
      <w:pPr>
        <w:pStyle w:val="Akapitzlist"/>
        <w:numPr>
          <w:ilvl w:val="0"/>
          <w:numId w:val="22"/>
        </w:numPr>
        <w:spacing w:after="0" w:line="276" w:lineRule="auto"/>
        <w:rPr>
          <w:rFonts w:ascii="Times New Roman" w:hAnsi="Times New Roman" w:cs="Times New Roman"/>
          <w:sz w:val="24"/>
          <w:szCs w:val="24"/>
        </w:rPr>
      </w:pPr>
      <w:r w:rsidRPr="00ED6CE7">
        <w:rPr>
          <w:rFonts w:ascii="Times New Roman" w:hAnsi="Times New Roman" w:cs="Times New Roman"/>
          <w:b/>
          <w:sz w:val="24"/>
          <w:szCs w:val="24"/>
        </w:rPr>
        <w:t>70 euro</w:t>
      </w:r>
      <w:r w:rsidRPr="00ED6CE7">
        <w:rPr>
          <w:rFonts w:ascii="Times New Roman" w:hAnsi="Times New Roman" w:cs="Times New Roman"/>
          <w:sz w:val="24"/>
          <w:szCs w:val="24"/>
        </w:rPr>
        <w:t xml:space="preserve"> – gdy świadczenie pieniężne będzie wyższe niż 5 000 złotych, ale niższe niż 50 000 złotych;</w:t>
      </w:r>
    </w:p>
    <w:p w14:paraId="456BE03D" w14:textId="5AECC541" w:rsidR="0029520B" w:rsidRPr="00ED6CE7" w:rsidRDefault="0029520B" w:rsidP="00C63A53">
      <w:pPr>
        <w:pStyle w:val="Akapitzlist"/>
        <w:numPr>
          <w:ilvl w:val="0"/>
          <w:numId w:val="22"/>
        </w:numPr>
        <w:spacing w:after="0" w:line="276" w:lineRule="auto"/>
        <w:rPr>
          <w:rFonts w:ascii="Times New Roman" w:hAnsi="Times New Roman" w:cs="Times New Roman"/>
          <w:sz w:val="24"/>
          <w:szCs w:val="24"/>
        </w:rPr>
      </w:pPr>
      <w:r w:rsidRPr="00ED6CE7">
        <w:rPr>
          <w:rFonts w:ascii="Times New Roman" w:hAnsi="Times New Roman" w:cs="Times New Roman"/>
          <w:b/>
          <w:sz w:val="24"/>
          <w:szCs w:val="24"/>
        </w:rPr>
        <w:t>100 euro</w:t>
      </w:r>
      <w:r w:rsidRPr="00ED6CE7">
        <w:rPr>
          <w:rFonts w:ascii="Times New Roman" w:hAnsi="Times New Roman" w:cs="Times New Roman"/>
          <w:sz w:val="24"/>
          <w:szCs w:val="24"/>
        </w:rPr>
        <w:t xml:space="preserve"> – gdy świadczenie pieniężne będzie równe lub wyższe od 50 000 złotych.</w:t>
      </w:r>
    </w:p>
    <w:p w14:paraId="06C19323" w14:textId="77777777" w:rsidR="0029520B" w:rsidRPr="00ED6CE7" w:rsidRDefault="0029520B" w:rsidP="00C63A53">
      <w:pPr>
        <w:spacing w:after="0" w:line="276" w:lineRule="auto"/>
        <w:rPr>
          <w:rFonts w:ascii="Times New Roman" w:hAnsi="Times New Roman" w:cs="Times New Roman"/>
          <w:sz w:val="24"/>
          <w:szCs w:val="24"/>
        </w:rPr>
      </w:pPr>
    </w:p>
    <w:p w14:paraId="488F9929" w14:textId="2B8480CF"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Istotną nowością jest również wprowadzenie zakazu zbywania roszczeń </w:t>
      </w:r>
      <w:r w:rsidR="001F4350" w:rsidRPr="00ED6CE7">
        <w:rPr>
          <w:rFonts w:ascii="Times New Roman" w:hAnsi="Times New Roman" w:cs="Times New Roman"/>
          <w:sz w:val="24"/>
          <w:szCs w:val="24"/>
        </w:rPr>
        <w:t>o rekompensatę, jako rozwiązanego</w:t>
      </w:r>
      <w:r w:rsidRPr="00ED6CE7">
        <w:rPr>
          <w:rFonts w:ascii="Times New Roman" w:hAnsi="Times New Roman" w:cs="Times New Roman"/>
          <w:sz w:val="24"/>
          <w:szCs w:val="24"/>
        </w:rPr>
        <w:t xml:space="preserve"> mającego zapobiegać nadużywaniu przez wierzycieli prawa do rekompensaty. Chodzi tutaj o przec</w:t>
      </w:r>
      <w:r w:rsidR="001F4350" w:rsidRPr="00ED6CE7">
        <w:rPr>
          <w:rFonts w:ascii="Times New Roman" w:hAnsi="Times New Roman" w:cs="Times New Roman"/>
          <w:sz w:val="24"/>
          <w:szCs w:val="24"/>
        </w:rPr>
        <w:t>iwdziałanie zjawisku holowania</w:t>
      </w:r>
      <w:r w:rsidRPr="00ED6CE7">
        <w:rPr>
          <w:rFonts w:ascii="Times New Roman" w:hAnsi="Times New Roman" w:cs="Times New Roman"/>
          <w:sz w:val="24"/>
          <w:szCs w:val="24"/>
        </w:rPr>
        <w:t xml:space="preserve"> przez wierzycieli stosunkowo niewielkich, przeterminowanych należności z tytułu świadczeń o</w:t>
      </w:r>
      <w:r w:rsidR="001F4350" w:rsidRPr="00ED6CE7">
        <w:rPr>
          <w:rFonts w:ascii="Times New Roman" w:hAnsi="Times New Roman" w:cs="Times New Roman"/>
          <w:sz w:val="24"/>
          <w:szCs w:val="24"/>
        </w:rPr>
        <w:t xml:space="preserve"> </w:t>
      </w:r>
      <w:r w:rsidRPr="00ED6CE7">
        <w:rPr>
          <w:rFonts w:ascii="Times New Roman" w:hAnsi="Times New Roman" w:cs="Times New Roman"/>
          <w:sz w:val="24"/>
          <w:szCs w:val="24"/>
        </w:rPr>
        <w:t>kresowych w</w:t>
      </w:r>
      <w:r w:rsidR="001F4350" w:rsidRPr="00ED6CE7">
        <w:rPr>
          <w:rFonts w:ascii="Times New Roman" w:hAnsi="Times New Roman" w:cs="Times New Roman"/>
          <w:sz w:val="24"/>
          <w:szCs w:val="24"/>
        </w:rPr>
        <w:t>y</w:t>
      </w:r>
      <w:r w:rsidRPr="00ED6CE7">
        <w:rPr>
          <w:rFonts w:ascii="Times New Roman" w:hAnsi="Times New Roman" w:cs="Times New Roman"/>
          <w:sz w:val="24"/>
          <w:szCs w:val="24"/>
        </w:rPr>
        <w:t>raz z roszczeniami o rekompensatę, a następnie przelewania tych wierzytelności na inne podmioty, zajmujące się profesjonalnie ich zbiorczym dochodzeniem od dłużników, co w praktyce prowadzi do sytuacji, w których kwota dochodzonych rekompensat bywa zbliżona lub nawet wyższa od kwot należności głównych.</w:t>
      </w:r>
    </w:p>
    <w:p w14:paraId="4B3665B4" w14:textId="77777777" w:rsidR="0029520B" w:rsidRPr="00ED6CE7" w:rsidRDefault="0029520B" w:rsidP="00C63A53">
      <w:pPr>
        <w:spacing w:after="0" w:line="276" w:lineRule="auto"/>
        <w:rPr>
          <w:rFonts w:ascii="Times New Roman" w:hAnsi="Times New Roman" w:cs="Times New Roman"/>
          <w:sz w:val="24"/>
          <w:szCs w:val="24"/>
        </w:rPr>
      </w:pPr>
    </w:p>
    <w:p w14:paraId="1254AE49" w14:textId="728A987B" w:rsidR="0029520B" w:rsidRPr="00ED6CE7" w:rsidRDefault="0029520B"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 xml:space="preserve">Obowiązek ujawniania przez największe firmy informacji o stosowanych terminach zapłaty </w:t>
      </w:r>
    </w:p>
    <w:p w14:paraId="502001E6" w14:textId="30EBFA38"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lastRenderedPageBreak/>
        <w:t>Na największe firmy spadnie dodatkowy obowiązek. Podatnicy podatku dochodowego od osób prawnych, u których wartość przychodu uzyskana w roku podatkowym przekroczyła równowartość 50 mln euro oraz wszystkie podatkowe grupy kapitałowe, będą przekazywać ministrowi właściwemu ds. gospodarki (obecnie Ministrowi Przedsiębiorczości Technologii), w terminie do 31 stycznia każdego roku, drogą elektroniczną, sprawozdanie o stosowanych przez nie w poprzednim roku kalendarzowym terminach zapłaty w transakcjach handlowych. Odpowiedzialność za złożenie sprawozdania będzie spoczywać na kierownikach podmiotów, czyli w praktyce najczęściej na członkach zarządów spółek kapitałowych. W przypadku podatkowych grup kapitałowych, sprawozdanie będzie przekazywał kierownik każdej z tworzących grupę spółek. Nieprzekazanie sprawozdania do publikacji będzie  stanowić wykroczenie, zagrożone karą grzywny.</w:t>
      </w:r>
    </w:p>
    <w:p w14:paraId="00E888E1" w14:textId="77777777" w:rsidR="0029520B" w:rsidRPr="00ED6CE7" w:rsidRDefault="0029520B" w:rsidP="00C63A53">
      <w:pPr>
        <w:spacing w:after="0" w:line="276" w:lineRule="auto"/>
        <w:rPr>
          <w:rFonts w:ascii="Times New Roman" w:hAnsi="Times New Roman" w:cs="Times New Roman"/>
          <w:sz w:val="24"/>
          <w:szCs w:val="24"/>
        </w:rPr>
      </w:pPr>
    </w:p>
    <w:p w14:paraId="12D99928" w14:textId="3DBF24EE"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Sprawozdanie będzie obejmować informacje o wartości świadczeń pieniężnych otrzymanych przez przedsiębiorcę oraz świadczeń pieniężnych spełnionych przez niego na rzecz swoich wierzycieli w poprzednim roku kalendarzowym, w podziale na świadczenia otrzymane albo spełnione w terminie: </w:t>
      </w:r>
    </w:p>
    <w:p w14:paraId="090A0FCE" w14:textId="544BBEB2" w:rsidR="0029520B" w:rsidRPr="00ED6CE7" w:rsidRDefault="0029520B" w:rsidP="00C63A53">
      <w:pPr>
        <w:pStyle w:val="Akapitzlist"/>
        <w:numPr>
          <w:ilvl w:val="0"/>
          <w:numId w:val="23"/>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nieprzekraczającym 30 dni,</w:t>
      </w:r>
    </w:p>
    <w:p w14:paraId="78DF91F8" w14:textId="1D414B85" w:rsidR="0029520B" w:rsidRPr="00ED6CE7" w:rsidRDefault="0029520B" w:rsidP="00C63A53">
      <w:pPr>
        <w:pStyle w:val="Akapitzlist"/>
        <w:numPr>
          <w:ilvl w:val="0"/>
          <w:numId w:val="23"/>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od 31 do 60 dni,</w:t>
      </w:r>
    </w:p>
    <w:p w14:paraId="6CFADE18" w14:textId="53A977B4" w:rsidR="0029520B" w:rsidRPr="00ED6CE7" w:rsidRDefault="0029520B" w:rsidP="00C63A53">
      <w:pPr>
        <w:pStyle w:val="Akapitzlist"/>
        <w:numPr>
          <w:ilvl w:val="0"/>
          <w:numId w:val="23"/>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od 61 do 120 dni, </w:t>
      </w:r>
    </w:p>
    <w:p w14:paraId="27620CCF" w14:textId="472F6FB8" w:rsidR="0029520B" w:rsidRPr="00ED6CE7" w:rsidRDefault="0029520B" w:rsidP="00C63A53">
      <w:pPr>
        <w:pStyle w:val="Akapitzlist"/>
        <w:numPr>
          <w:ilvl w:val="0"/>
          <w:numId w:val="23"/>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przekraczającym 120 dni.</w:t>
      </w:r>
    </w:p>
    <w:p w14:paraId="73D7D516" w14:textId="77777777" w:rsidR="0029520B" w:rsidRPr="00ED6CE7" w:rsidRDefault="0029520B" w:rsidP="00C63A53">
      <w:pPr>
        <w:spacing w:after="0" w:line="276" w:lineRule="auto"/>
        <w:rPr>
          <w:rFonts w:ascii="Times New Roman" w:hAnsi="Times New Roman" w:cs="Times New Roman"/>
          <w:sz w:val="24"/>
          <w:szCs w:val="24"/>
        </w:rPr>
      </w:pPr>
    </w:p>
    <w:p w14:paraId="01DDB785" w14:textId="68F89B38"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Ponadto, konieczne będzie wskazanie wartości świadczeń nieotrzymanych przez przedsiębiorcę oraz wartości świadczeń niespełnionych przez niego w terminie określonym w umowie, a także udziału procentowego takich świadczeń w całkowitej wartości świadczeń pieniężnych należnych mu albo do których spełnienia był zobowiązany w poprzednim roku kalendarzowym.</w:t>
      </w:r>
    </w:p>
    <w:p w14:paraId="3A16936C" w14:textId="77777777" w:rsidR="0029520B" w:rsidRPr="00ED6CE7" w:rsidRDefault="0029520B" w:rsidP="00C63A53">
      <w:pPr>
        <w:spacing w:after="0" w:line="276" w:lineRule="auto"/>
        <w:rPr>
          <w:rFonts w:ascii="Times New Roman" w:hAnsi="Times New Roman" w:cs="Times New Roman"/>
          <w:sz w:val="24"/>
          <w:szCs w:val="24"/>
        </w:rPr>
      </w:pPr>
    </w:p>
    <w:p w14:paraId="21DB5D64" w14:textId="02479CD3"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Sprawozdania będą publikowane w Biuletynie Informacji Publicznej, na stronie podmiotowej Ministerstwa Przedsiębiorczości i Technologii. W przypadku powzięcia przez Ministra Przedsiębiorczości i Technologii podejrzenia, że sprawozdanie zawiera informacje nierzetelne lub nieprawdziwe, będzie on zobowiązany do </w:t>
      </w:r>
      <w:r w:rsidR="001F4350" w:rsidRPr="00ED6CE7">
        <w:rPr>
          <w:rFonts w:ascii="Times New Roman" w:hAnsi="Times New Roman" w:cs="Times New Roman"/>
          <w:sz w:val="24"/>
          <w:szCs w:val="24"/>
        </w:rPr>
        <w:t>nie</w:t>
      </w:r>
      <w:r w:rsidRPr="00ED6CE7">
        <w:rPr>
          <w:rFonts w:ascii="Times New Roman" w:hAnsi="Times New Roman" w:cs="Times New Roman"/>
          <w:sz w:val="24"/>
          <w:szCs w:val="24"/>
        </w:rPr>
        <w:t>zawiadomienia o tym Prezesa Urzędu Ochrony Konkurencji i Konsumentów (UOKIK), który</w:t>
      </w:r>
      <w:r w:rsidR="001F4350" w:rsidRPr="00ED6CE7">
        <w:rPr>
          <w:rFonts w:ascii="Times New Roman" w:hAnsi="Times New Roman" w:cs="Times New Roman"/>
          <w:sz w:val="24"/>
          <w:szCs w:val="24"/>
        </w:rPr>
        <w:t xml:space="preserve"> i tak</w:t>
      </w:r>
      <w:r w:rsidRPr="00ED6CE7">
        <w:rPr>
          <w:rFonts w:ascii="Times New Roman" w:hAnsi="Times New Roman" w:cs="Times New Roman"/>
          <w:sz w:val="24"/>
          <w:szCs w:val="24"/>
        </w:rPr>
        <w:t xml:space="preserve"> przeanalizuje informacje zawarte w zawiadomieniu i ewentualnie podejmie decyzję o wszczęciu postępowania a</w:t>
      </w:r>
      <w:r w:rsidR="00BB69F8" w:rsidRPr="00ED6CE7">
        <w:rPr>
          <w:rFonts w:ascii="Times New Roman" w:hAnsi="Times New Roman" w:cs="Times New Roman"/>
          <w:sz w:val="24"/>
          <w:szCs w:val="24"/>
        </w:rPr>
        <w:t>dministracyjnego, skutkującego z</w:t>
      </w:r>
      <w:r w:rsidRPr="00ED6CE7">
        <w:rPr>
          <w:rFonts w:ascii="Times New Roman" w:hAnsi="Times New Roman" w:cs="Times New Roman"/>
          <w:sz w:val="24"/>
          <w:szCs w:val="24"/>
        </w:rPr>
        <w:t>ałożeniem na dłużnika kary pieniężnej.</w:t>
      </w:r>
    </w:p>
    <w:p w14:paraId="0F2260F1" w14:textId="77777777" w:rsidR="0029520B" w:rsidRPr="00ED6CE7" w:rsidRDefault="0029520B" w:rsidP="00C63A53">
      <w:pPr>
        <w:spacing w:after="0" w:line="276" w:lineRule="auto"/>
        <w:rPr>
          <w:rFonts w:ascii="Times New Roman" w:hAnsi="Times New Roman" w:cs="Times New Roman"/>
          <w:sz w:val="24"/>
          <w:szCs w:val="24"/>
        </w:rPr>
      </w:pPr>
    </w:p>
    <w:p w14:paraId="639B4FAB" w14:textId="10580660" w:rsidR="0029520B" w:rsidRPr="00ED6CE7" w:rsidRDefault="0029520B" w:rsidP="00C63A53">
      <w:pPr>
        <w:spacing w:after="0" w:line="276" w:lineRule="auto"/>
        <w:rPr>
          <w:rFonts w:ascii="Times New Roman" w:hAnsi="Times New Roman" w:cs="Times New Roman"/>
          <w:b/>
          <w:sz w:val="24"/>
          <w:szCs w:val="24"/>
        </w:rPr>
      </w:pPr>
      <w:r w:rsidRPr="00ED6CE7">
        <w:rPr>
          <w:rFonts w:ascii="Times New Roman" w:hAnsi="Times New Roman" w:cs="Times New Roman"/>
          <w:b/>
          <w:sz w:val="24"/>
          <w:szCs w:val="24"/>
        </w:rPr>
        <w:t>Ka</w:t>
      </w:r>
      <w:r w:rsidR="00BB69F8" w:rsidRPr="00ED6CE7">
        <w:rPr>
          <w:rFonts w:ascii="Times New Roman" w:hAnsi="Times New Roman" w:cs="Times New Roman"/>
          <w:b/>
          <w:sz w:val="24"/>
          <w:szCs w:val="24"/>
        </w:rPr>
        <w:t>d</w:t>
      </w:r>
      <w:r w:rsidRPr="00ED6CE7">
        <w:rPr>
          <w:rFonts w:ascii="Times New Roman" w:hAnsi="Times New Roman" w:cs="Times New Roman"/>
          <w:b/>
          <w:sz w:val="24"/>
          <w:szCs w:val="24"/>
        </w:rPr>
        <w:t>ry pieniężne dla sprawców największych zatorów</w:t>
      </w:r>
    </w:p>
    <w:p w14:paraId="1FB48AF8" w14:textId="49556383"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Ustawa nowelizująca wprowadza nowy, wzorowany na rozwiązaniach francuskich instrument, w postaci kar finansowych dla najbardziej niesumiennych dłużników, jako mechanizm mobilizujący do terminowego regulowania należności, poprzez zagrożenie sankcją o charakterze administracyjnym. Kary nie będą jednak stosowan</w:t>
      </w:r>
      <w:r w:rsidR="00BB69F8" w:rsidRPr="00ED6CE7">
        <w:rPr>
          <w:rFonts w:ascii="Times New Roman" w:hAnsi="Times New Roman" w:cs="Times New Roman"/>
          <w:sz w:val="24"/>
          <w:szCs w:val="24"/>
        </w:rPr>
        <w:t>i</w:t>
      </w:r>
      <w:r w:rsidRPr="00ED6CE7">
        <w:rPr>
          <w:rFonts w:ascii="Times New Roman" w:hAnsi="Times New Roman" w:cs="Times New Roman"/>
          <w:sz w:val="24"/>
          <w:szCs w:val="24"/>
        </w:rPr>
        <w:t xml:space="preserve">e wobec dłużników będących podmiotami publicznymi – ustawodawca uznał bowiem, iż w tym przypadku wystarczające </w:t>
      </w:r>
      <w:r w:rsidR="00BB69F8" w:rsidRPr="00ED6CE7">
        <w:rPr>
          <w:rFonts w:ascii="Times New Roman" w:hAnsi="Times New Roman" w:cs="Times New Roman"/>
          <w:sz w:val="24"/>
          <w:szCs w:val="24"/>
        </w:rPr>
        <w:t xml:space="preserve">jest zagrożenie sankcjami za </w:t>
      </w:r>
      <w:r w:rsidRPr="00ED6CE7">
        <w:rPr>
          <w:rFonts w:ascii="Times New Roman" w:hAnsi="Times New Roman" w:cs="Times New Roman"/>
          <w:sz w:val="24"/>
          <w:szCs w:val="24"/>
        </w:rPr>
        <w:t>terminowe regulowanie zobowiązań przewidziane w przepisach dotyczących dyscypliny finansów publicznych</w:t>
      </w:r>
      <w:r w:rsidRPr="00ED6CE7">
        <w:rPr>
          <w:rStyle w:val="Odwoanieprzypisukocowego"/>
          <w:rFonts w:ascii="Times New Roman" w:hAnsi="Times New Roman" w:cs="Times New Roman"/>
          <w:sz w:val="24"/>
          <w:szCs w:val="24"/>
        </w:rPr>
        <w:endnoteReference w:id="18"/>
      </w:r>
      <w:r w:rsidRPr="00ED6CE7">
        <w:rPr>
          <w:rFonts w:ascii="Times New Roman" w:hAnsi="Times New Roman" w:cs="Times New Roman"/>
          <w:sz w:val="24"/>
          <w:szCs w:val="24"/>
        </w:rPr>
        <w:t xml:space="preserve">. </w:t>
      </w:r>
    </w:p>
    <w:p w14:paraId="34EDB4B3" w14:textId="77777777" w:rsidR="0029520B" w:rsidRPr="00ED6CE7" w:rsidRDefault="0029520B" w:rsidP="00C63A53">
      <w:pPr>
        <w:spacing w:after="0" w:line="276" w:lineRule="auto"/>
        <w:rPr>
          <w:rFonts w:ascii="Times New Roman" w:hAnsi="Times New Roman" w:cs="Times New Roman"/>
          <w:sz w:val="24"/>
          <w:szCs w:val="24"/>
        </w:rPr>
      </w:pPr>
    </w:p>
    <w:p w14:paraId="006681D7" w14:textId="568827AB"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lastRenderedPageBreak/>
        <w:t>Nadmierne opóźnianie się ze spełnianiem świadczeń pieniężnych zagrożone karą finansową zostało zdefiniowane jako sytuacja, w której w okresie 3 kolejnych miesięcy suma wartości świadczeń pieniężnych nie spełnionych oraz spełnionych po terminie przez dany pod</w:t>
      </w:r>
      <w:r w:rsidR="00BB69F8" w:rsidRPr="00ED6CE7">
        <w:rPr>
          <w:rFonts w:ascii="Times New Roman" w:hAnsi="Times New Roman" w:cs="Times New Roman"/>
          <w:sz w:val="24"/>
          <w:szCs w:val="24"/>
        </w:rPr>
        <w:t>miot wynosi co najmniej 2 mln EUR</w:t>
      </w:r>
      <w:r w:rsidRPr="00ED6CE7">
        <w:rPr>
          <w:rFonts w:ascii="Times New Roman" w:hAnsi="Times New Roman" w:cs="Times New Roman"/>
          <w:sz w:val="24"/>
          <w:szCs w:val="24"/>
        </w:rPr>
        <w:t>.  Przepisy przejściowe zawarte w ustawie nowelizującej podwyżs</w:t>
      </w:r>
      <w:r w:rsidR="00BB69F8" w:rsidRPr="00ED6CE7">
        <w:rPr>
          <w:rFonts w:ascii="Times New Roman" w:hAnsi="Times New Roman" w:cs="Times New Roman"/>
          <w:sz w:val="24"/>
          <w:szCs w:val="24"/>
        </w:rPr>
        <w:t>zają jednak ten próg do 5 milionów euro dla postępowań wszczynanych w b</w:t>
      </w:r>
      <w:r w:rsidRPr="00ED6CE7">
        <w:rPr>
          <w:rFonts w:ascii="Times New Roman" w:hAnsi="Times New Roman" w:cs="Times New Roman"/>
          <w:sz w:val="24"/>
          <w:szCs w:val="24"/>
        </w:rPr>
        <w:t>atach 2020–2021, dając dłużnikom czas na „poprawę”.</w:t>
      </w:r>
    </w:p>
    <w:p w14:paraId="1E3A04E1" w14:textId="77777777" w:rsidR="0029520B" w:rsidRPr="00ED6CE7" w:rsidRDefault="0029520B" w:rsidP="00C63A53">
      <w:pPr>
        <w:spacing w:after="0" w:line="276" w:lineRule="auto"/>
        <w:rPr>
          <w:rFonts w:ascii="Times New Roman" w:hAnsi="Times New Roman" w:cs="Times New Roman"/>
          <w:sz w:val="24"/>
          <w:szCs w:val="24"/>
        </w:rPr>
      </w:pPr>
    </w:p>
    <w:p w14:paraId="1A2482C9" w14:textId="020BC914"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highlight w:val="yellow"/>
        </w:rPr>
        <w:t>Kary będą nakładane przez Prezesa UOKIK w drodze decyzji administracyjnej</w:t>
      </w:r>
      <w:r w:rsidRPr="00ED6CE7">
        <w:rPr>
          <w:rFonts w:ascii="Times New Roman" w:hAnsi="Times New Roman" w:cs="Times New Roman"/>
          <w:sz w:val="24"/>
          <w:szCs w:val="24"/>
        </w:rPr>
        <w:t>, wydawanej po przeprowadzeniu postępowania w sprawie nadmiernego opóźniania się ze spełnianiem świadczeń pieniężnych. Postępowanie będzie wszczynane z urzędu, po przeprowadzeniu przez Prezesa UOKIK analizy prawdopodobieństwa nadmiernego opóźniania się da</w:t>
      </w:r>
      <w:r w:rsidR="00BB69F8" w:rsidRPr="00ED6CE7">
        <w:rPr>
          <w:rFonts w:ascii="Times New Roman" w:hAnsi="Times New Roman" w:cs="Times New Roman"/>
          <w:sz w:val="24"/>
          <w:szCs w:val="24"/>
        </w:rPr>
        <w:t>wnego po</w:t>
      </w:r>
      <w:r w:rsidRPr="00ED6CE7">
        <w:rPr>
          <w:rFonts w:ascii="Times New Roman" w:hAnsi="Times New Roman" w:cs="Times New Roman"/>
          <w:sz w:val="24"/>
          <w:szCs w:val="24"/>
        </w:rPr>
        <w:t>miotu ze spełnianiem świadczeń pieniężnych. Analiza taka będzie mogła zostać przeprowadzona m.in. na podstawie zawiadomienia dotyczącego podejrzenia wystąpienia nadmiernego opóźniania się ze spełnianiem świadczeń pieniężnych, które do Prezesa U</w:t>
      </w:r>
      <w:r w:rsidR="00BB69F8" w:rsidRPr="00ED6CE7">
        <w:rPr>
          <w:rFonts w:ascii="Times New Roman" w:hAnsi="Times New Roman" w:cs="Times New Roman"/>
          <w:sz w:val="24"/>
          <w:szCs w:val="24"/>
        </w:rPr>
        <w:t>Ł</w:t>
      </w:r>
      <w:r w:rsidRPr="00ED6CE7">
        <w:rPr>
          <w:rFonts w:ascii="Times New Roman" w:hAnsi="Times New Roman" w:cs="Times New Roman"/>
          <w:sz w:val="24"/>
          <w:szCs w:val="24"/>
        </w:rPr>
        <w:t xml:space="preserve">OKIK będzie mógł zgłosić każdy, przy czym dane składającej je osoby oraz </w:t>
      </w:r>
      <w:r w:rsidR="00716F50" w:rsidRPr="00ED6CE7">
        <w:rPr>
          <w:rFonts w:ascii="Times New Roman" w:hAnsi="Times New Roman" w:cs="Times New Roman"/>
          <w:sz w:val="24"/>
          <w:szCs w:val="24"/>
        </w:rPr>
        <w:t>treść zawiadomienia nie będą po</w:t>
      </w:r>
      <w:r w:rsidRPr="00ED6CE7">
        <w:rPr>
          <w:rFonts w:ascii="Times New Roman" w:hAnsi="Times New Roman" w:cs="Times New Roman"/>
          <w:sz w:val="24"/>
          <w:szCs w:val="24"/>
        </w:rPr>
        <w:t>legać ujawnieniu. Innym źródłem informacji o potencjalnych sprawcach nadmiernych opóźnień mają</w:t>
      </w:r>
      <w:r w:rsidR="00716F50" w:rsidRPr="00ED6CE7">
        <w:rPr>
          <w:rFonts w:ascii="Times New Roman" w:hAnsi="Times New Roman" w:cs="Times New Roman"/>
          <w:sz w:val="24"/>
          <w:szCs w:val="24"/>
        </w:rPr>
        <w:t>c</w:t>
      </w:r>
      <w:r w:rsidRPr="00ED6CE7">
        <w:rPr>
          <w:rFonts w:ascii="Times New Roman" w:hAnsi="Times New Roman" w:cs="Times New Roman"/>
          <w:sz w:val="24"/>
          <w:szCs w:val="24"/>
        </w:rPr>
        <w:t xml:space="preserve"> być wspomniane wyżej zawiadomienia kierowane do Prezesa UOKIK przez Ministra Przedsiębiorczości i Technologii w związku z podejrzeniem, że sprawozdanie o terminach zapłaty zawiera nierzetelne lub nieprawdziwe informacje. Okres, którego będzie dotyczyć dane postępowanie, będzie obejmował jedynie kolejne 3 mie</w:t>
      </w:r>
      <w:r w:rsidR="00716F50" w:rsidRPr="00ED6CE7">
        <w:rPr>
          <w:rFonts w:ascii="Times New Roman" w:hAnsi="Times New Roman" w:cs="Times New Roman"/>
          <w:sz w:val="24"/>
          <w:szCs w:val="24"/>
        </w:rPr>
        <w:t>siące, w ciągu których suma nieza</w:t>
      </w:r>
      <w:r w:rsidRPr="00ED6CE7">
        <w:rPr>
          <w:rFonts w:ascii="Times New Roman" w:hAnsi="Times New Roman" w:cs="Times New Roman"/>
          <w:sz w:val="24"/>
          <w:szCs w:val="24"/>
        </w:rPr>
        <w:t>pełnionych lub spełnionych po terminie świadczeń wy</w:t>
      </w:r>
      <w:r w:rsidR="00BB69F8" w:rsidRPr="00ED6CE7">
        <w:rPr>
          <w:rFonts w:ascii="Times New Roman" w:hAnsi="Times New Roman" w:cs="Times New Roman"/>
          <w:sz w:val="24"/>
          <w:szCs w:val="24"/>
        </w:rPr>
        <w:t>niesie co najmniej 2 mln zł (w ł</w:t>
      </w:r>
      <w:r w:rsidRPr="00ED6CE7">
        <w:rPr>
          <w:rFonts w:ascii="Times New Roman" w:hAnsi="Times New Roman" w:cs="Times New Roman"/>
          <w:sz w:val="24"/>
          <w:szCs w:val="24"/>
        </w:rPr>
        <w:t xml:space="preserve">atach 2020–2021 – 5 mln zł), przypadające w okresie 2 lat </w:t>
      </w:r>
      <w:r w:rsidR="00BB69F8" w:rsidRPr="00ED6CE7">
        <w:rPr>
          <w:rFonts w:ascii="Times New Roman" w:hAnsi="Times New Roman" w:cs="Times New Roman"/>
          <w:sz w:val="24"/>
          <w:szCs w:val="24"/>
        </w:rPr>
        <w:t>przed dniem wszczęcia tego poste</w:t>
      </w:r>
      <w:r w:rsidR="00716F50" w:rsidRPr="00ED6CE7">
        <w:rPr>
          <w:rFonts w:ascii="Times New Roman" w:hAnsi="Times New Roman" w:cs="Times New Roman"/>
          <w:sz w:val="24"/>
          <w:szCs w:val="24"/>
        </w:rPr>
        <w:t>powania;</w:t>
      </w:r>
      <w:r w:rsidRPr="00ED6CE7">
        <w:rPr>
          <w:rFonts w:ascii="Times New Roman" w:hAnsi="Times New Roman" w:cs="Times New Roman"/>
          <w:sz w:val="24"/>
          <w:szCs w:val="24"/>
        </w:rPr>
        <w:t xml:space="preserve"> Jednocześnie, ustalając czy doszło do nadmiernego opóźniania się ze spełnianiem świadczeń pieniężnych, będą pomijane niespełnione oraz spełnione po terminie świadczenia, dla których termin płatności upłynął wcześniej niż 2 lata przed dniem wszczęcia postępowania.</w:t>
      </w:r>
    </w:p>
    <w:p w14:paraId="32D9FB03" w14:textId="77777777" w:rsidR="0029520B" w:rsidRPr="00ED6CE7" w:rsidRDefault="0029520B" w:rsidP="00C63A53">
      <w:pPr>
        <w:spacing w:after="0" w:line="276" w:lineRule="auto"/>
        <w:rPr>
          <w:rFonts w:ascii="Times New Roman" w:hAnsi="Times New Roman" w:cs="Times New Roman"/>
          <w:sz w:val="24"/>
          <w:szCs w:val="24"/>
        </w:rPr>
      </w:pPr>
    </w:p>
    <w:p w14:paraId="41884C5F" w14:textId="2591274A" w:rsidR="0029520B" w:rsidRPr="00ED6CE7" w:rsidRDefault="00716F50" w:rsidP="00716F50">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Kara z</w:t>
      </w:r>
      <w:r w:rsidR="0029520B" w:rsidRPr="00ED6CE7">
        <w:rPr>
          <w:rFonts w:ascii="Times New Roman" w:hAnsi="Times New Roman" w:cs="Times New Roman"/>
          <w:sz w:val="24"/>
          <w:szCs w:val="24"/>
        </w:rPr>
        <w:t>akładana przez Prezesa UOKIK będzie stanowić sumę jednostkowych kar za każde niespełnione oraz spełnione po terminie świadczenie pieniężne, które było wymagalne w okresie objętym postępowaniem, z pominięciem świadczeń, dla których termin płatności upłynął wcześniej niż 2 lata przed dniem wszczęcia postępowania</w:t>
      </w:r>
      <w:r w:rsidRPr="00ED6CE7">
        <w:rPr>
          <w:rFonts w:ascii="Times New Roman" w:hAnsi="Times New Roman" w:cs="Times New Roman"/>
          <w:sz w:val="24"/>
          <w:szCs w:val="24"/>
        </w:rPr>
        <w:t>.</w:t>
      </w:r>
    </w:p>
    <w:p w14:paraId="6F7F82AB" w14:textId="77777777" w:rsidR="0029520B" w:rsidRPr="00ED6CE7" w:rsidRDefault="0029520B" w:rsidP="00C63A53">
      <w:pPr>
        <w:spacing w:after="0" w:line="276" w:lineRule="auto"/>
        <w:rPr>
          <w:rFonts w:ascii="Times New Roman" w:hAnsi="Times New Roman" w:cs="Times New Roman"/>
          <w:sz w:val="24"/>
          <w:szCs w:val="24"/>
        </w:rPr>
      </w:pPr>
    </w:p>
    <w:p w14:paraId="0A392631" w14:textId="79B6985C"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 xml:space="preserve">Kara pieniężna będzie jednak obniżana o: </w:t>
      </w:r>
    </w:p>
    <w:p w14:paraId="5E6A5057" w14:textId="192DBECA" w:rsidR="0029520B" w:rsidRPr="00ED6CE7" w:rsidRDefault="0029520B" w:rsidP="00C63A53">
      <w:pPr>
        <w:pStyle w:val="Akapitzlist"/>
        <w:numPr>
          <w:ilvl w:val="0"/>
          <w:numId w:val="24"/>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20% – jeżeli dłużnik przed wszczęciem postępowania spełnił wszystkie świadczenia, za które obliczono jednostkowe kary, wraz z odsetkami ustawowymi za opóźnienie w transakcjach handlowych albo spełnił je wraz z takimi odsetkami w ciągu 14 dni od d</w:t>
      </w:r>
      <w:r w:rsidR="00716F50" w:rsidRPr="00ED6CE7">
        <w:rPr>
          <w:rFonts w:ascii="Times New Roman" w:hAnsi="Times New Roman" w:cs="Times New Roman"/>
          <w:sz w:val="24"/>
          <w:szCs w:val="24"/>
        </w:rPr>
        <w:t>y</w:t>
      </w:r>
      <w:r w:rsidRPr="00ED6CE7">
        <w:rPr>
          <w:rFonts w:ascii="Times New Roman" w:hAnsi="Times New Roman" w:cs="Times New Roman"/>
          <w:sz w:val="24"/>
          <w:szCs w:val="24"/>
        </w:rPr>
        <w:t>nia doręczenia mu postanowienia o wszczęciu postępowania;</w:t>
      </w:r>
    </w:p>
    <w:p w14:paraId="5ABDD721" w14:textId="7AB7AF77" w:rsidR="0029520B" w:rsidRPr="00ED6CE7" w:rsidRDefault="0029520B" w:rsidP="00C63A53">
      <w:pPr>
        <w:pStyle w:val="Akapitzlist"/>
        <w:numPr>
          <w:ilvl w:val="0"/>
          <w:numId w:val="24"/>
        </w:num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kolejne 10% – jeżeli zostanie spełniony wyżej wskazany warunek obniżenia kary o 20%, a dłużnik w terminie 14 dni od doręczenia mu decyzji o nałożeniu kary uiści obniżoną o 20% karę w całości i zrzeknie się prawa do złożenia wniosku o ponowne rozpatrzenie sprawy – w takim przypadku, Prezes UOKIK będzie wydawał decyzję o zwrocie nadpłaconej kary.</w:t>
      </w:r>
    </w:p>
    <w:p w14:paraId="09C4DF7F" w14:textId="77777777" w:rsidR="0029520B" w:rsidRPr="00ED6CE7" w:rsidRDefault="0029520B" w:rsidP="00C63A53">
      <w:pPr>
        <w:spacing w:after="0" w:line="276" w:lineRule="auto"/>
        <w:rPr>
          <w:rFonts w:ascii="Times New Roman" w:hAnsi="Times New Roman" w:cs="Times New Roman"/>
          <w:sz w:val="24"/>
          <w:szCs w:val="24"/>
        </w:rPr>
      </w:pPr>
    </w:p>
    <w:p w14:paraId="0C2E5873" w14:textId="0D18A194"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lastRenderedPageBreak/>
        <w:t>„Recydywiści” będą podlegać surowszym sankcjom. W przypadku bowiem, gdy nadmierne opóźnianie się ze spełnianiem świadczeń pieniężnych zostanie stwierdzone ponownie w okresie 2 lat od dnia, w którym poprzednio wydana decyzja w przedmiocie nałożenia kary stała się ostateczna, kolejna kara ulegać będzie podwyższeniu o 50%, bez możliwości uzyskania wspomnianych wyżej obniżek o 20% i 10%.</w:t>
      </w:r>
    </w:p>
    <w:p w14:paraId="60BECAE6" w14:textId="77777777" w:rsidR="0029520B" w:rsidRPr="00ED6CE7" w:rsidRDefault="0029520B" w:rsidP="00C63A53">
      <w:pPr>
        <w:spacing w:after="0" w:line="276" w:lineRule="auto"/>
        <w:rPr>
          <w:rFonts w:ascii="Times New Roman" w:hAnsi="Times New Roman" w:cs="Times New Roman"/>
          <w:sz w:val="24"/>
          <w:szCs w:val="24"/>
        </w:rPr>
      </w:pPr>
    </w:p>
    <w:p w14:paraId="2D8F23F4" w14:textId="0AFCF98B"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Z drugiej jednak strony, ka</w:t>
      </w:r>
      <w:r w:rsidR="00716F50" w:rsidRPr="00ED6CE7">
        <w:rPr>
          <w:rFonts w:ascii="Times New Roman" w:hAnsi="Times New Roman" w:cs="Times New Roman"/>
          <w:sz w:val="24"/>
          <w:szCs w:val="24"/>
        </w:rPr>
        <w:t>d</w:t>
      </w:r>
      <w:r w:rsidRPr="00ED6CE7">
        <w:rPr>
          <w:rFonts w:ascii="Times New Roman" w:hAnsi="Times New Roman" w:cs="Times New Roman"/>
          <w:sz w:val="24"/>
          <w:szCs w:val="24"/>
        </w:rPr>
        <w:t>ry unikną ci, którzy sami będą „ofiarami” zatorów. Jeżeli bowiem wartość niespełnionych lub spełnionych po terminie świadczeń, za które obliczono by jednostkowe kary, jest równa lub mniejsza od wartości świadczeń pieniężnych nieotrzymanych lub otrzymanych po terminie, wówczas Prezes UOKIK będzie odstępował od wymierzenia kary, poprzestając na udzieleniu dłużnikowi pouczenia. Kara nie będzie nakładana również w przypadku, gdy nadmierne opóźnianie się ze spełnianiem świadczeń pieniężnych wystąpi wskutek działania siły wyższej.</w:t>
      </w:r>
    </w:p>
    <w:p w14:paraId="127AC980" w14:textId="77777777" w:rsidR="0029520B" w:rsidRPr="00ED6CE7" w:rsidRDefault="0029520B" w:rsidP="00C63A53">
      <w:pPr>
        <w:spacing w:after="0" w:line="276" w:lineRule="auto"/>
        <w:rPr>
          <w:rFonts w:ascii="Times New Roman" w:hAnsi="Times New Roman" w:cs="Times New Roman"/>
          <w:sz w:val="24"/>
          <w:szCs w:val="24"/>
        </w:rPr>
      </w:pPr>
    </w:p>
    <w:p w14:paraId="082FC6E2" w14:textId="1348524F"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Od decyzji nakładającej karę będzie</w:t>
      </w:r>
      <w:r w:rsidR="00AC60AD" w:rsidRPr="00ED6CE7">
        <w:rPr>
          <w:rFonts w:ascii="Times New Roman" w:hAnsi="Times New Roman" w:cs="Times New Roman"/>
          <w:sz w:val="24"/>
          <w:szCs w:val="24"/>
        </w:rPr>
        <w:t xml:space="preserve"> przysługiwać wniosek do Prezydenta</w:t>
      </w:r>
      <w:r w:rsidRPr="00ED6CE7">
        <w:rPr>
          <w:rFonts w:ascii="Times New Roman" w:hAnsi="Times New Roman" w:cs="Times New Roman"/>
          <w:sz w:val="24"/>
          <w:szCs w:val="24"/>
        </w:rPr>
        <w:t xml:space="preserve"> UOKIK o ponowne rozpatrzenie sprawy, a następnie, w przypadku utrzymania decyzji w mocy, skarga do wojewódzkiego sądu administracyjnego.</w:t>
      </w:r>
    </w:p>
    <w:p w14:paraId="0B90F537" w14:textId="77777777" w:rsidR="0029520B" w:rsidRPr="00ED6CE7" w:rsidRDefault="0029520B" w:rsidP="00C63A53">
      <w:pPr>
        <w:spacing w:after="0" w:line="276" w:lineRule="auto"/>
        <w:rPr>
          <w:rFonts w:ascii="Times New Roman" w:hAnsi="Times New Roman" w:cs="Times New Roman"/>
          <w:sz w:val="24"/>
          <w:szCs w:val="24"/>
        </w:rPr>
      </w:pPr>
    </w:p>
    <w:p w14:paraId="5C2EE923" w14:textId="3226CD48" w:rsidR="0029520B" w:rsidRPr="00ED6CE7" w:rsidRDefault="0029520B" w:rsidP="00C63A53">
      <w:pPr>
        <w:spacing w:after="0" w:line="276" w:lineRule="auto"/>
        <w:rPr>
          <w:rFonts w:ascii="Times New Roman" w:hAnsi="Times New Roman" w:cs="Times New Roman"/>
          <w:sz w:val="24"/>
          <w:szCs w:val="24"/>
        </w:rPr>
      </w:pPr>
      <w:r w:rsidRPr="00ED6CE7">
        <w:rPr>
          <w:rFonts w:ascii="Times New Roman" w:hAnsi="Times New Roman" w:cs="Times New Roman"/>
          <w:sz w:val="24"/>
          <w:szCs w:val="24"/>
        </w:rPr>
        <w:t>Przepisy regulu</w:t>
      </w:r>
      <w:r w:rsidR="00AC60AD" w:rsidRPr="00ED6CE7">
        <w:rPr>
          <w:rFonts w:ascii="Times New Roman" w:hAnsi="Times New Roman" w:cs="Times New Roman"/>
          <w:sz w:val="24"/>
          <w:szCs w:val="24"/>
        </w:rPr>
        <w:t>jące postępowanie przed dyrektorem</w:t>
      </w:r>
      <w:r w:rsidRPr="00ED6CE7">
        <w:rPr>
          <w:rFonts w:ascii="Times New Roman" w:hAnsi="Times New Roman" w:cs="Times New Roman"/>
          <w:sz w:val="24"/>
          <w:szCs w:val="24"/>
        </w:rPr>
        <w:t xml:space="preserve"> UOKIK w sprawie nadmiernego opóźniania się ze spełnianiem świadczeń pieniężnych, w tym zasady przeprowadzania kontroli u przedsiębiorców, zostały wprowadzone do ustawy o terminach zapłaty w transakcjach handlowych (po zmianie tytułu   - o przeciwdziałaniu nadmiernym opóźnieniom w transakcjach handlowych), przy czym w zakresie niektórych kwestii odpowiednio będzie się stosować przepisy ustawy o ochronie konkurencji i konsumentów</w:t>
      </w:r>
      <w:r w:rsidRPr="00ED6CE7">
        <w:rPr>
          <w:rStyle w:val="Odwoanieprzypisukocowego"/>
          <w:rFonts w:ascii="Times New Roman" w:hAnsi="Times New Roman" w:cs="Times New Roman"/>
          <w:sz w:val="24"/>
          <w:szCs w:val="24"/>
        </w:rPr>
        <w:endnoteReference w:id="19"/>
      </w:r>
      <w:r w:rsidRPr="00ED6CE7">
        <w:rPr>
          <w:rFonts w:ascii="Times New Roman" w:hAnsi="Times New Roman" w:cs="Times New Roman"/>
          <w:sz w:val="24"/>
          <w:szCs w:val="24"/>
        </w:rPr>
        <w:t>. Warto jednak podkreślić, że w przypadku, gdy przedsiębiorca nie udzieli informacji żądanych przez Prezesa UOKIK albo udzieli informacji nieprawdziwych lub wprowadzających w błąd albo będzie uniemożliwiał lub utrudniał rozpoczęcie lub przeprowadzenie kontroli, Prezes UOKIK będzie mógł nałożyć na niego karę pieniężną w wysokości do 5% przychodu osiągniętego w poprzednim roku podatkowym, nie większej jednak niż równowartość 50 000 000 euro</w:t>
      </w:r>
      <w:r w:rsidRPr="00ED6CE7">
        <w:rPr>
          <w:rStyle w:val="Odwoanieprzypisukocowego"/>
          <w:rFonts w:ascii="Times New Roman" w:hAnsi="Times New Roman" w:cs="Times New Roman"/>
          <w:sz w:val="24"/>
          <w:szCs w:val="24"/>
        </w:rPr>
        <w:endnoteReference w:id="20"/>
      </w:r>
      <w:r w:rsidRPr="00ED6CE7">
        <w:rPr>
          <w:rFonts w:ascii="Times New Roman" w:hAnsi="Times New Roman" w:cs="Times New Roman"/>
          <w:sz w:val="24"/>
          <w:szCs w:val="24"/>
        </w:rPr>
        <w:t>.</w:t>
      </w:r>
    </w:p>
    <w:p w14:paraId="531BFDEB" w14:textId="77777777" w:rsidR="0029520B" w:rsidRPr="00ED6CE7" w:rsidRDefault="0029520B" w:rsidP="00C63A53">
      <w:pPr>
        <w:spacing w:after="0" w:line="276" w:lineRule="auto"/>
        <w:rPr>
          <w:rFonts w:ascii="Times New Roman" w:hAnsi="Times New Roman" w:cs="Times New Roman"/>
          <w:sz w:val="24"/>
          <w:szCs w:val="24"/>
        </w:rPr>
      </w:pPr>
    </w:p>
    <w:sectPr w:rsidR="0029520B" w:rsidRPr="00ED6CE7">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0797F" w14:textId="77777777" w:rsidR="00B41B96" w:rsidRDefault="00B41B96" w:rsidP="00E80440">
      <w:pPr>
        <w:spacing w:after="0" w:line="240" w:lineRule="auto"/>
      </w:pPr>
      <w:r>
        <w:separator/>
      </w:r>
    </w:p>
  </w:endnote>
  <w:endnote w:type="continuationSeparator" w:id="0">
    <w:p w14:paraId="4F9D4EF8" w14:textId="77777777" w:rsidR="00B41B96" w:rsidRDefault="00B41B96" w:rsidP="00E80440">
      <w:pPr>
        <w:spacing w:after="0" w:line="240" w:lineRule="auto"/>
      </w:pPr>
      <w:r>
        <w:continuationSeparator/>
      </w:r>
    </w:p>
  </w:endnote>
  <w:endnote w:id="1">
    <w:p w14:paraId="1A4E3699" w14:textId="7CB05E8B" w:rsidR="0029520B" w:rsidRDefault="0029520B">
      <w:pPr>
        <w:pStyle w:val="Tekstprzypisukocowego"/>
      </w:pPr>
      <w:r>
        <w:rPr>
          <w:rStyle w:val="Odwoanieprzypisukocowego"/>
        </w:rPr>
        <w:endnoteRef/>
      </w:r>
      <w:r>
        <w:t xml:space="preserve"> </w:t>
      </w:r>
      <w:r w:rsidRPr="00BB6C3B">
        <w:rPr>
          <w:i/>
        </w:rPr>
        <w:t>Zatory płatnicze w Polsce. Zielona Księga</w:t>
      </w:r>
      <w:r>
        <w:t>, Ministerstwo Przedsiębiorczości i Technologii, kwiecień 2018 r., s. 8,</w:t>
      </w:r>
    </w:p>
    <w:p w14:paraId="13D83A1F" w14:textId="5DA7C4D5" w:rsidR="0029520B" w:rsidRDefault="0029520B">
      <w:pPr>
        <w:pStyle w:val="Tekstprzypisukocowego"/>
      </w:pPr>
      <w:r w:rsidRPr="005F0DCD">
        <w:t>https://www.gov.pl/web/przedsiebiorczosc-technologia/zielona-ksiega-nt-zatorow-platniczych</w:t>
      </w:r>
    </w:p>
  </w:endnote>
  <w:endnote w:id="2">
    <w:p w14:paraId="7DE86B1E" w14:textId="0FF0B1EF" w:rsidR="0029520B" w:rsidRPr="004F3E37" w:rsidRDefault="0029520B" w:rsidP="00E0639C">
      <w:pPr>
        <w:pStyle w:val="Tekstprzypisukocowego"/>
      </w:pPr>
      <w:r>
        <w:rPr>
          <w:rStyle w:val="Odwoanieprzypisukocowego"/>
        </w:rPr>
        <w:endnoteRef/>
      </w:r>
      <w:r>
        <w:t xml:space="preserve"> </w:t>
      </w:r>
      <w:r w:rsidRPr="00E0639C">
        <w:rPr>
          <w:i/>
        </w:rPr>
        <w:t xml:space="preserve">Portfel należności </w:t>
      </w:r>
      <w:r>
        <w:rPr>
          <w:i/>
        </w:rPr>
        <w:t>polskich przedsiębiorstw.</w:t>
      </w:r>
      <w:r w:rsidRPr="00E0639C">
        <w:rPr>
          <w:i/>
        </w:rPr>
        <w:t xml:space="preserve"> Informacja sygnalna II kwartał 2019</w:t>
      </w:r>
      <w:r>
        <w:rPr>
          <w:i/>
        </w:rPr>
        <w:t>,</w:t>
      </w:r>
      <w:r>
        <w:t xml:space="preserve"> p</w:t>
      </w:r>
      <w:r w:rsidRPr="00E0639C">
        <w:t xml:space="preserve">rojekt badawczy </w:t>
      </w:r>
      <w:r>
        <w:t xml:space="preserve">Konferencji </w:t>
      </w:r>
      <w:r w:rsidRPr="00E0639C">
        <w:t>Przed</w:t>
      </w:r>
      <w:r>
        <w:t xml:space="preserve">siębiorstw Finansowych w Polsce </w:t>
      </w:r>
      <w:r w:rsidRPr="00E0639C">
        <w:t>oraz Krajowego Rejestru Długów</w:t>
      </w:r>
      <w:r>
        <w:t>, opracowanie: dr hab. Piotr Białowolski, dr Tomasz M. Napiórkowski, lipiec 2019 r.</w:t>
      </w:r>
    </w:p>
  </w:endnote>
  <w:endnote w:id="3">
    <w:p w14:paraId="5840361F" w14:textId="0EB14112" w:rsidR="0029520B" w:rsidRDefault="0029520B" w:rsidP="00BB3283">
      <w:pPr>
        <w:pStyle w:val="Tekstprzypisukocowego"/>
      </w:pPr>
      <w:r>
        <w:rPr>
          <w:rStyle w:val="Odwoanieprzypisukocowego"/>
        </w:rPr>
        <w:endnoteRef/>
      </w:r>
      <w:r>
        <w:t xml:space="preserve"> Wskaźnik służący do pomiaru poziomu zatorów płatniczych w Polsce, wyliczany przez ekspertów Konferencji Przedsiębiorstw Finansowych, na który składa się sześć obszarów związanych z należnościami: stan problemów z otrzymywaniem należności w kwartale poprzedzającym badanie, prognoza problemów z otrzymywaniem należności w bieżącym kwartale, odsetek przeterminowanych należności w portfelu firmy, średni okres przeterminowania należności, odsetek firm, które na skutek problemów z należnościami nie mogą terminowo regulować swoich zobowiązań, przeciętny odsetek kosztów ponoszonych przez przedsiębiorstwa w związku z nieterminowymi płatnościami ze strony klientów/kontrahentów. </w:t>
      </w:r>
    </w:p>
  </w:endnote>
  <w:endnote w:id="4">
    <w:p w14:paraId="1011C108" w14:textId="6EA9867A" w:rsidR="0029520B" w:rsidRDefault="0029520B">
      <w:pPr>
        <w:pStyle w:val="Tekstprzypisukocowego"/>
      </w:pPr>
      <w:r>
        <w:rPr>
          <w:rStyle w:val="Odwoanieprzypisukocowego"/>
        </w:rPr>
        <w:endnoteRef/>
      </w:r>
      <w:r>
        <w:t xml:space="preserve"> </w:t>
      </w:r>
      <w:r w:rsidRPr="003F4C13">
        <w:rPr>
          <w:i/>
        </w:rPr>
        <w:t>Portfel należności polskich przedsiębiorstw. Informacja sygnalna II kwartał 2019</w:t>
      </w:r>
      <w:r>
        <w:t>, s. 3.</w:t>
      </w:r>
    </w:p>
  </w:endnote>
  <w:endnote w:id="5">
    <w:p w14:paraId="3D4A0CBA" w14:textId="01E3DDBE" w:rsidR="0029520B" w:rsidRDefault="0029520B">
      <w:pPr>
        <w:pStyle w:val="Tekstprzypisukocowego"/>
      </w:pPr>
      <w:r>
        <w:rPr>
          <w:rStyle w:val="Odwoanieprzypisukocowego"/>
        </w:rPr>
        <w:endnoteRef/>
      </w:r>
      <w:r>
        <w:t xml:space="preserve"> Ibidem, s. 5.</w:t>
      </w:r>
    </w:p>
  </w:endnote>
  <w:endnote w:id="6">
    <w:p w14:paraId="70F81C80" w14:textId="4E907AA0" w:rsidR="0029520B" w:rsidRDefault="0029520B" w:rsidP="009C7747">
      <w:pPr>
        <w:pStyle w:val="Tekstprzypisukocowego"/>
      </w:pPr>
      <w:r>
        <w:rPr>
          <w:rStyle w:val="Odwoanieprzypisukocowego"/>
        </w:rPr>
        <w:endnoteRef/>
      </w:r>
      <w:r>
        <w:t xml:space="preserve"> </w:t>
      </w:r>
      <w:r w:rsidRPr="009E17E6">
        <w:t>Dz.U.UE.L.2000.200.35</w:t>
      </w:r>
      <w:r>
        <w:t xml:space="preserve">. Dyrektywa </w:t>
      </w:r>
      <w:r w:rsidRPr="009C7747">
        <w:t>2000/35/WE</w:t>
      </w:r>
      <w:r>
        <w:t xml:space="preserve"> wdrożona została do polskiego porządku prawnego ustawą z dnia 12 czerwca 2003 r. o terminach zapłaty w transakcjach handlowych (Dz.U.2003.139.</w:t>
      </w:r>
      <w:r w:rsidRPr="00FC4DCF">
        <w:t>1323</w:t>
      </w:r>
      <w:r>
        <w:t xml:space="preserve"> z późn. zm.).</w:t>
      </w:r>
    </w:p>
  </w:endnote>
  <w:endnote w:id="7">
    <w:p w14:paraId="5E9316CD" w14:textId="05330D3D" w:rsidR="0029520B" w:rsidRDefault="0029520B" w:rsidP="009E17E6">
      <w:pPr>
        <w:pStyle w:val="Tekstprzypisukocowego"/>
      </w:pPr>
      <w:r>
        <w:rPr>
          <w:rStyle w:val="Odwoanieprzypisukocowego"/>
        </w:rPr>
        <w:endnoteRef/>
      </w:r>
      <w:r>
        <w:t xml:space="preserve"> Dyrektywa Parlamentu Europejskiego i Rady 2011/7/UE z dnia 16 lutego 2011 r. w sprawie zwalczania opóźnień w płatnościach w transakcjach handlowych (wersja przekształcona), </w:t>
      </w:r>
      <w:r w:rsidRPr="009E17E6">
        <w:t>Dz.U.UE.L.2011.48.1</w:t>
      </w:r>
      <w:r>
        <w:t>.</w:t>
      </w:r>
    </w:p>
  </w:endnote>
  <w:endnote w:id="8">
    <w:p w14:paraId="002656A8" w14:textId="08C55E2D" w:rsidR="0029520B" w:rsidRDefault="0029520B">
      <w:pPr>
        <w:pStyle w:val="Tekstprzypisukocowego"/>
      </w:pPr>
      <w:r>
        <w:rPr>
          <w:rStyle w:val="Odwoanieprzypisukocowego"/>
        </w:rPr>
        <w:endnoteRef/>
      </w:r>
      <w:r>
        <w:t xml:space="preserve"> Dz.U.2019.118.</w:t>
      </w:r>
    </w:p>
  </w:endnote>
  <w:endnote w:id="9">
    <w:p w14:paraId="352D91B7" w14:textId="587A7A39" w:rsidR="0029520B" w:rsidRDefault="0029520B">
      <w:pPr>
        <w:pStyle w:val="Tekstprzypisukocowego"/>
      </w:pPr>
      <w:r>
        <w:rPr>
          <w:rStyle w:val="Odwoanieprzypisukocowego"/>
        </w:rPr>
        <w:endnoteRef/>
      </w:r>
      <w:r>
        <w:t xml:space="preserve"> Dz.U.2019.1649.</w:t>
      </w:r>
    </w:p>
  </w:endnote>
  <w:endnote w:id="10">
    <w:p w14:paraId="1BE5867E" w14:textId="6A769809" w:rsidR="0029520B" w:rsidRDefault="0029520B">
      <w:pPr>
        <w:pStyle w:val="Tekstprzypisukocowego"/>
      </w:pPr>
      <w:r>
        <w:rPr>
          <w:rStyle w:val="Odwoanieprzypisukocowego"/>
        </w:rPr>
        <w:endnoteRef/>
      </w:r>
      <w:r>
        <w:t xml:space="preserve"> Sama definicja transakcji handlowej nie uległa zmianie – oznacza ona umowę, której przedmiotem jest odpłatna dostawa towaru lub odpłatne świadczenie usługi, zawartą w związku z wykonywaną działalnością pomiędzy podmiotami wskazanymi w art. 2  ustawy o terminach zapłaty w transakcjach handlowych (od 1.01.2020 r. - o </w:t>
      </w:r>
      <w:r w:rsidRPr="003B14D0">
        <w:t>przeciwdziałaniu nadmiernym opóźnieniom w transakcjach handlowych</w:t>
      </w:r>
      <w:r>
        <w:t>), tj.: przedsiębiorcami w rozumieniu ustawy Prawo przedsiębiorców, podmiotami prowadzącymi działalność rolniczą określoną w art. 6 ust. 1 ustawy Prawo przedsiębiorców, podmiotami zobowiązanymi do stosowania ustawy Prawo zamówień publicznych, osobami wykonującymi wolny zawód, oddziałami i przedstawicielstwami przedsiębiorców zagranicznych, a także przedsiębiorcami z państw członkowskich UE,</w:t>
      </w:r>
      <w:r w:rsidRPr="00020023">
        <w:t xml:space="preserve"> państw członkowskich Europejskiego Porozumienia o Wolnym Handlu (EFTA) - stron umowy o Europejskim Obszarze Gospodarczym lub Konfederacji Szwajcarskiej</w:t>
      </w:r>
      <w:r>
        <w:t>.</w:t>
      </w:r>
    </w:p>
  </w:endnote>
  <w:endnote w:id="11">
    <w:p w14:paraId="2F7A06A7" w14:textId="6E4261C2" w:rsidR="0029520B" w:rsidRDefault="0029520B">
      <w:pPr>
        <w:pStyle w:val="Tekstprzypisukocowego"/>
      </w:pPr>
      <w:r>
        <w:rPr>
          <w:rStyle w:val="Odwoanieprzypisukocowego"/>
        </w:rPr>
        <w:endnoteRef/>
      </w:r>
      <w:r>
        <w:t xml:space="preserve"> Terminy zapłaty liczone są co do zasady od dnia doręczenia dłużnikowi faktury lub rachunku, potwierdzających dostawę towaru lub wykonanie usługi. Jeżeli nie jest możliwe ustalenie daty otrzymania faktury lub rachunku potwierdzającego dostawę towaru lub wykonanie usługi albo gdy zostały one doręczone przed dostawą towaru lub wykonaniem usługi, termin liczony jest od dnia otrzymania przez dłużnika towaru lub usługi.</w:t>
      </w:r>
    </w:p>
  </w:endnote>
  <w:endnote w:id="12">
    <w:p w14:paraId="5B7A7D26" w14:textId="04923C66" w:rsidR="0029520B" w:rsidRDefault="0029520B">
      <w:pPr>
        <w:pStyle w:val="Tekstprzypisukocowego"/>
      </w:pPr>
      <w:r>
        <w:rPr>
          <w:rStyle w:val="Odwoanieprzypisukocowego"/>
        </w:rPr>
        <w:endnoteRef/>
      </w:r>
      <w:r>
        <w:t xml:space="preserve"> Ustawa odsyła do definicji MMŚP zawartej w załączniku</w:t>
      </w:r>
      <w:r w:rsidRPr="00A003A6">
        <w:t xml:space="preserve"> I do rozporządzenia Komisji (UE) nr 651/2014 z dnia 17 czerwca 2014 r. uznającego niektóre rodzaje pomocy za zgodne z rynkiem wewnętrznym w zastosowaniu art. 107 i art. 108 Traktatu (Dz. Urz. UE L 187 z 26.06.2014, str. 1, z późn. zm.</w:t>
      </w:r>
      <w:r>
        <w:t>).</w:t>
      </w:r>
    </w:p>
  </w:endnote>
  <w:endnote w:id="13">
    <w:p w14:paraId="513128C8" w14:textId="093E0255" w:rsidR="0029520B" w:rsidRDefault="0029520B">
      <w:pPr>
        <w:pStyle w:val="Tekstprzypisukocowego"/>
      </w:pPr>
      <w:r>
        <w:rPr>
          <w:rStyle w:val="Odwoanieprzypisukocowego"/>
        </w:rPr>
        <w:endnoteRef/>
      </w:r>
      <w:r>
        <w:t xml:space="preserve"> Wynika to z ogólnej zasady wyrażonej w art. 6 Kodeksu cywilnego, zgodnie z którym „ciężar udowodnienia faktu spoczywa na osobie, która z faktu tego wywodzi skutki prawne”.</w:t>
      </w:r>
    </w:p>
  </w:endnote>
  <w:endnote w:id="14">
    <w:p w14:paraId="34FC2C2E" w14:textId="1C0590B1" w:rsidR="0029520B" w:rsidRDefault="0029520B">
      <w:pPr>
        <w:pStyle w:val="Tekstprzypisukocowego"/>
      </w:pPr>
      <w:r>
        <w:rPr>
          <w:rStyle w:val="Odwoanieprzypisukocowego"/>
        </w:rPr>
        <w:endnoteRef/>
      </w:r>
      <w:r>
        <w:t xml:space="preserve"> W art. 11a ustawy o terminach zapłaty w transakcjach handlowych (</w:t>
      </w:r>
      <w:r w:rsidRPr="00E60318">
        <w:t>od 1.01.2020 r. - o przeciwdziałaniu nadmiernym opóźnieniom w transakcjach handlowych)</w:t>
      </w:r>
      <w:r>
        <w:t xml:space="preserve"> okoliczność „właściwość towaru lub usługi, które są przedmiotem transakcji handlowej uzupełniono o doprecyzowanie „w szczególności czas zwykle potrzebny na zbycie towaru przez dłużnika na rzecz osób trzecich”, a ponadto dodano nową okoliczność „dostosowanie harmonogramu dostawy towarów lub wykonania usługi w częściach do harmonogramu spełniania odpowiadających im części świadczenia pieniężnego”.</w:t>
      </w:r>
    </w:p>
  </w:endnote>
  <w:endnote w:id="15">
    <w:p w14:paraId="79D6E81C" w14:textId="0D754A81" w:rsidR="0029520B" w:rsidRDefault="0029520B">
      <w:pPr>
        <w:pStyle w:val="Tekstprzypisukocowego"/>
      </w:pPr>
      <w:r>
        <w:rPr>
          <w:rStyle w:val="Odwoanieprzypisukocowego"/>
        </w:rPr>
        <w:endnoteRef/>
      </w:r>
      <w:r>
        <w:t xml:space="preserve"> P</w:t>
      </w:r>
      <w:r w:rsidRPr="000D37F9">
        <w:t>odmioty, o których mowa w art. 3 ust. 1 pkt 1-3a ustawy z dnia 29 stycznia 2004 r. - Prawo zamówień publicznych</w:t>
      </w:r>
      <w:r>
        <w:t xml:space="preserve"> (</w:t>
      </w:r>
      <w:r w:rsidRPr="000D37F9">
        <w:t>Dz.U.2018.1986</w:t>
      </w:r>
      <w:r>
        <w:t xml:space="preserve"> z późn. zm.).</w:t>
      </w:r>
    </w:p>
  </w:endnote>
  <w:endnote w:id="16">
    <w:p w14:paraId="145E2C06" w14:textId="0A40BB82" w:rsidR="0029520B" w:rsidRDefault="0029520B">
      <w:pPr>
        <w:pStyle w:val="Tekstprzypisukocowego"/>
      </w:pPr>
      <w:r>
        <w:rPr>
          <w:rStyle w:val="Odwoanieprzypisukocowego"/>
        </w:rPr>
        <w:endnoteRef/>
      </w:r>
      <w:r>
        <w:t xml:space="preserve"> P</w:t>
      </w:r>
      <w:r w:rsidRPr="000D37F9">
        <w:t>odmiot, o którym mowa w art. 4 ust. 1 pkt 2–4 ustawy z dnia 15 kwietnia 2011 r. o działalności leczniczej (</w:t>
      </w:r>
      <w:r w:rsidRPr="00A605DC">
        <w:t>Dz.U.2018.2190</w:t>
      </w:r>
      <w:r>
        <w:t xml:space="preserve"> z późn. zm.</w:t>
      </w:r>
      <w:r w:rsidRPr="000D37F9">
        <w:t>)</w:t>
      </w:r>
      <w:r>
        <w:t>.</w:t>
      </w:r>
    </w:p>
  </w:endnote>
  <w:endnote w:id="17">
    <w:p w14:paraId="2CCCBE03" w14:textId="48544F3A" w:rsidR="0029520B" w:rsidRDefault="0029520B">
      <w:pPr>
        <w:pStyle w:val="Tekstprzypisukocowego"/>
      </w:pPr>
      <w:r>
        <w:rPr>
          <w:rStyle w:val="Odwoanieprzypisukocowego"/>
        </w:rPr>
        <w:endnoteRef/>
      </w:r>
      <w:r>
        <w:t xml:space="preserve"> Kwotę rekompensaty przelicza się na złote według średniego kursu euro ogłoszonego przez NBP ostatniego dnia roboczego miesiąca poprzedzającego miesiąc, w którym świadczenie pieniężne stało się wymagalne.</w:t>
      </w:r>
    </w:p>
  </w:endnote>
  <w:endnote w:id="18">
    <w:p w14:paraId="06765CAA" w14:textId="0886BF9E" w:rsidR="0029520B" w:rsidRDefault="0029520B">
      <w:pPr>
        <w:pStyle w:val="Tekstprzypisukocowego"/>
      </w:pPr>
      <w:r>
        <w:rPr>
          <w:rStyle w:val="Odwoanieprzypisukocowego"/>
        </w:rPr>
        <w:endnoteRef/>
      </w:r>
      <w:r>
        <w:t xml:space="preserve"> Ustawa z dnia 17 grudnia 2004 r. o odpowiedzialności za naruszenie dyscypliny finansów publicznych (Dz.U.</w:t>
      </w:r>
      <w:r w:rsidRPr="00D03CC1">
        <w:t>2019.1440</w:t>
      </w:r>
      <w:r>
        <w:t>).</w:t>
      </w:r>
    </w:p>
  </w:endnote>
  <w:endnote w:id="19">
    <w:p w14:paraId="3EEB0E83" w14:textId="6267ECEB" w:rsidR="0029520B" w:rsidRPr="00A605DC" w:rsidRDefault="0029520B">
      <w:pPr>
        <w:pStyle w:val="Tekstprzypisukocowego"/>
        <w:rPr>
          <w:i/>
        </w:rPr>
      </w:pPr>
      <w:r>
        <w:rPr>
          <w:rStyle w:val="Odwoanieprzypisukocowego"/>
        </w:rPr>
        <w:endnoteRef/>
      </w:r>
      <w:r>
        <w:t xml:space="preserve"> Ustawa z dnia 16 lutego 2007 r. o ochronie konkurencji i konsumentów (Dz.U.2019.369).</w:t>
      </w:r>
    </w:p>
  </w:endnote>
  <w:endnote w:id="20">
    <w:p w14:paraId="54ED69EA" w14:textId="02138ACA" w:rsidR="0029520B" w:rsidRDefault="0029520B">
      <w:pPr>
        <w:pStyle w:val="Tekstprzypisukocowego"/>
      </w:pPr>
      <w:r>
        <w:rPr>
          <w:rStyle w:val="Odwoanieprzypisukocowego"/>
        </w:rPr>
        <w:endnoteRef/>
      </w:r>
      <w:r>
        <w:t xml:space="preserve"> Jeżeli nie można ustalić przychodu lub przedsiębiorca nie osiągnął w poprzednim roku podatkowym przychodu, kara pieniężna wynosi nie więcej niż równowartość 50.000.000 euro.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1E8C0" w14:textId="77777777" w:rsidR="00B41B96" w:rsidRDefault="00B41B96" w:rsidP="00E80440">
      <w:pPr>
        <w:spacing w:after="0" w:line="240" w:lineRule="auto"/>
      </w:pPr>
      <w:r>
        <w:separator/>
      </w:r>
    </w:p>
  </w:footnote>
  <w:footnote w:type="continuationSeparator" w:id="0">
    <w:p w14:paraId="7DDA1C2D" w14:textId="77777777" w:rsidR="00B41B96" w:rsidRDefault="00B41B96" w:rsidP="00E80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530"/>
    <w:multiLevelType w:val="hybridMultilevel"/>
    <w:tmpl w:val="F1E448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C452B3"/>
    <w:multiLevelType w:val="hybridMultilevel"/>
    <w:tmpl w:val="A60A6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5649C8"/>
    <w:multiLevelType w:val="hybridMultilevel"/>
    <w:tmpl w:val="74147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0E38C9"/>
    <w:multiLevelType w:val="hybridMultilevel"/>
    <w:tmpl w:val="9EF814A8"/>
    <w:lvl w:ilvl="0" w:tplc="B9E2AAA2">
      <w:start w:val="2"/>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834AF0"/>
    <w:multiLevelType w:val="hybridMultilevel"/>
    <w:tmpl w:val="17044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D23641"/>
    <w:multiLevelType w:val="hybridMultilevel"/>
    <w:tmpl w:val="451A53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2EB43DA"/>
    <w:multiLevelType w:val="hybridMultilevel"/>
    <w:tmpl w:val="731EBA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421522"/>
    <w:multiLevelType w:val="hybridMultilevel"/>
    <w:tmpl w:val="FF3C5A0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D33DE0"/>
    <w:multiLevelType w:val="hybridMultilevel"/>
    <w:tmpl w:val="158C22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E57228"/>
    <w:multiLevelType w:val="hybridMultilevel"/>
    <w:tmpl w:val="8FFC23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701D95"/>
    <w:multiLevelType w:val="hybridMultilevel"/>
    <w:tmpl w:val="25E88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8956195"/>
    <w:multiLevelType w:val="hybridMultilevel"/>
    <w:tmpl w:val="A438A44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9692293"/>
    <w:multiLevelType w:val="hybridMultilevel"/>
    <w:tmpl w:val="2AFC7F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274DA8"/>
    <w:multiLevelType w:val="hybridMultilevel"/>
    <w:tmpl w:val="BE823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DB576AE"/>
    <w:multiLevelType w:val="hybridMultilevel"/>
    <w:tmpl w:val="6DCEE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FA6796B"/>
    <w:multiLevelType w:val="hybridMultilevel"/>
    <w:tmpl w:val="ABDA6D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0134A1B"/>
    <w:multiLevelType w:val="hybridMultilevel"/>
    <w:tmpl w:val="B14E73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D454CB"/>
    <w:multiLevelType w:val="hybridMultilevel"/>
    <w:tmpl w:val="75083E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14C4018"/>
    <w:multiLevelType w:val="hybridMultilevel"/>
    <w:tmpl w:val="A342A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67F0FBD"/>
    <w:multiLevelType w:val="hybridMultilevel"/>
    <w:tmpl w:val="12DA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6857BFB"/>
    <w:multiLevelType w:val="hybridMultilevel"/>
    <w:tmpl w:val="21B45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8737C36"/>
    <w:multiLevelType w:val="hybridMultilevel"/>
    <w:tmpl w:val="FD7C1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F4B1129"/>
    <w:multiLevelType w:val="hybridMultilevel"/>
    <w:tmpl w:val="E64A2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89E37BF"/>
    <w:multiLevelType w:val="hybridMultilevel"/>
    <w:tmpl w:val="A0FEB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9C0297A"/>
    <w:multiLevelType w:val="hybridMultilevel"/>
    <w:tmpl w:val="BD980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B32217C"/>
    <w:multiLevelType w:val="hybridMultilevel"/>
    <w:tmpl w:val="92320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8F42AB"/>
    <w:multiLevelType w:val="hybridMultilevel"/>
    <w:tmpl w:val="9BF0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8312FD6"/>
    <w:multiLevelType w:val="hybridMultilevel"/>
    <w:tmpl w:val="C784C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4"/>
  </w:num>
  <w:num w:numId="4">
    <w:abstractNumId w:val="12"/>
  </w:num>
  <w:num w:numId="5">
    <w:abstractNumId w:val="2"/>
  </w:num>
  <w:num w:numId="6">
    <w:abstractNumId w:val="7"/>
  </w:num>
  <w:num w:numId="7">
    <w:abstractNumId w:val="27"/>
  </w:num>
  <w:num w:numId="8">
    <w:abstractNumId w:val="14"/>
  </w:num>
  <w:num w:numId="9">
    <w:abstractNumId w:val="18"/>
  </w:num>
  <w:num w:numId="10">
    <w:abstractNumId w:val="0"/>
  </w:num>
  <w:num w:numId="11">
    <w:abstractNumId w:val="1"/>
  </w:num>
  <w:num w:numId="12">
    <w:abstractNumId w:val="16"/>
  </w:num>
  <w:num w:numId="13">
    <w:abstractNumId w:val="10"/>
  </w:num>
  <w:num w:numId="14">
    <w:abstractNumId w:val="26"/>
  </w:num>
  <w:num w:numId="15">
    <w:abstractNumId w:val="23"/>
  </w:num>
  <w:num w:numId="16">
    <w:abstractNumId w:val="13"/>
  </w:num>
  <w:num w:numId="17">
    <w:abstractNumId w:val="21"/>
  </w:num>
  <w:num w:numId="18">
    <w:abstractNumId w:val="22"/>
  </w:num>
  <w:num w:numId="19">
    <w:abstractNumId w:val="19"/>
  </w:num>
  <w:num w:numId="20">
    <w:abstractNumId w:val="24"/>
  </w:num>
  <w:num w:numId="21">
    <w:abstractNumId w:val="5"/>
  </w:num>
  <w:num w:numId="22">
    <w:abstractNumId w:val="20"/>
  </w:num>
  <w:num w:numId="23">
    <w:abstractNumId w:val="17"/>
  </w:num>
  <w:num w:numId="24">
    <w:abstractNumId w:val="9"/>
  </w:num>
  <w:num w:numId="25">
    <w:abstractNumId w:val="15"/>
  </w:num>
  <w:num w:numId="26">
    <w:abstractNumId w:val="25"/>
  </w:num>
  <w:num w:numId="27">
    <w:abstractNumId w:val="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22C"/>
    <w:rsid w:val="000001F6"/>
    <w:rsid w:val="00002A5B"/>
    <w:rsid w:val="00002D3C"/>
    <w:rsid w:val="000109E9"/>
    <w:rsid w:val="00013A2D"/>
    <w:rsid w:val="00020023"/>
    <w:rsid w:val="00021A91"/>
    <w:rsid w:val="0002222A"/>
    <w:rsid w:val="00026428"/>
    <w:rsid w:val="00033C06"/>
    <w:rsid w:val="000344E0"/>
    <w:rsid w:val="00034685"/>
    <w:rsid w:val="0004112E"/>
    <w:rsid w:val="000425C4"/>
    <w:rsid w:val="0004260B"/>
    <w:rsid w:val="00043628"/>
    <w:rsid w:val="00053555"/>
    <w:rsid w:val="00053650"/>
    <w:rsid w:val="0005467B"/>
    <w:rsid w:val="00054BA7"/>
    <w:rsid w:val="00060872"/>
    <w:rsid w:val="00063A25"/>
    <w:rsid w:val="0006499E"/>
    <w:rsid w:val="0007143C"/>
    <w:rsid w:val="00072759"/>
    <w:rsid w:val="000761F4"/>
    <w:rsid w:val="00081F41"/>
    <w:rsid w:val="0008230F"/>
    <w:rsid w:val="000864A2"/>
    <w:rsid w:val="00086EDD"/>
    <w:rsid w:val="0008701B"/>
    <w:rsid w:val="000870B6"/>
    <w:rsid w:val="00087958"/>
    <w:rsid w:val="000906B9"/>
    <w:rsid w:val="000914BE"/>
    <w:rsid w:val="00093EA4"/>
    <w:rsid w:val="000969B2"/>
    <w:rsid w:val="000A1B4D"/>
    <w:rsid w:val="000A7796"/>
    <w:rsid w:val="000B27BC"/>
    <w:rsid w:val="000B3DEB"/>
    <w:rsid w:val="000B476F"/>
    <w:rsid w:val="000C1ED0"/>
    <w:rsid w:val="000C2248"/>
    <w:rsid w:val="000C4BCD"/>
    <w:rsid w:val="000C5C6B"/>
    <w:rsid w:val="000C6504"/>
    <w:rsid w:val="000C77FF"/>
    <w:rsid w:val="000D0418"/>
    <w:rsid w:val="000D09A2"/>
    <w:rsid w:val="000D359C"/>
    <w:rsid w:val="000D37F9"/>
    <w:rsid w:val="000E1512"/>
    <w:rsid w:val="000E1BC7"/>
    <w:rsid w:val="000E1F65"/>
    <w:rsid w:val="000E3D15"/>
    <w:rsid w:val="000E7230"/>
    <w:rsid w:val="000F26B3"/>
    <w:rsid w:val="000F5647"/>
    <w:rsid w:val="000F6DDC"/>
    <w:rsid w:val="000F6EAB"/>
    <w:rsid w:val="00100D17"/>
    <w:rsid w:val="00105C11"/>
    <w:rsid w:val="00106EA3"/>
    <w:rsid w:val="001077AB"/>
    <w:rsid w:val="00107EB0"/>
    <w:rsid w:val="0011155A"/>
    <w:rsid w:val="001119DE"/>
    <w:rsid w:val="00113CDA"/>
    <w:rsid w:val="00114E1A"/>
    <w:rsid w:val="00115C62"/>
    <w:rsid w:val="001178BA"/>
    <w:rsid w:val="001204C8"/>
    <w:rsid w:val="00122162"/>
    <w:rsid w:val="00122B45"/>
    <w:rsid w:val="00123939"/>
    <w:rsid w:val="00123D93"/>
    <w:rsid w:val="00124061"/>
    <w:rsid w:val="001245B5"/>
    <w:rsid w:val="00124B0B"/>
    <w:rsid w:val="0012621F"/>
    <w:rsid w:val="00127CAC"/>
    <w:rsid w:val="00133BAE"/>
    <w:rsid w:val="00141815"/>
    <w:rsid w:val="00147351"/>
    <w:rsid w:val="0015038F"/>
    <w:rsid w:val="001521FA"/>
    <w:rsid w:val="00154B0D"/>
    <w:rsid w:val="00157D0A"/>
    <w:rsid w:val="00167253"/>
    <w:rsid w:val="00171331"/>
    <w:rsid w:val="0017197B"/>
    <w:rsid w:val="00173B65"/>
    <w:rsid w:val="0017495D"/>
    <w:rsid w:val="00175F72"/>
    <w:rsid w:val="001763B7"/>
    <w:rsid w:val="00177851"/>
    <w:rsid w:val="001812BF"/>
    <w:rsid w:val="001819BE"/>
    <w:rsid w:val="00184908"/>
    <w:rsid w:val="001858C1"/>
    <w:rsid w:val="00185E45"/>
    <w:rsid w:val="00186F44"/>
    <w:rsid w:val="00190D74"/>
    <w:rsid w:val="0019118C"/>
    <w:rsid w:val="00191AFE"/>
    <w:rsid w:val="00193583"/>
    <w:rsid w:val="0019365F"/>
    <w:rsid w:val="001958BB"/>
    <w:rsid w:val="001A0BF3"/>
    <w:rsid w:val="001A1923"/>
    <w:rsid w:val="001A2521"/>
    <w:rsid w:val="001A45E2"/>
    <w:rsid w:val="001B0703"/>
    <w:rsid w:val="001B1995"/>
    <w:rsid w:val="001B23D8"/>
    <w:rsid w:val="001B2DFF"/>
    <w:rsid w:val="001B4232"/>
    <w:rsid w:val="001B5270"/>
    <w:rsid w:val="001B5377"/>
    <w:rsid w:val="001B5790"/>
    <w:rsid w:val="001B5BA4"/>
    <w:rsid w:val="001B74F9"/>
    <w:rsid w:val="001C7424"/>
    <w:rsid w:val="001C7CD6"/>
    <w:rsid w:val="001D67FA"/>
    <w:rsid w:val="001D740F"/>
    <w:rsid w:val="001E1EB0"/>
    <w:rsid w:val="001E2B38"/>
    <w:rsid w:val="001E6831"/>
    <w:rsid w:val="001E6C6C"/>
    <w:rsid w:val="001E735F"/>
    <w:rsid w:val="001F0AF4"/>
    <w:rsid w:val="001F3A50"/>
    <w:rsid w:val="001F4350"/>
    <w:rsid w:val="001F47B7"/>
    <w:rsid w:val="001F5289"/>
    <w:rsid w:val="001F6D89"/>
    <w:rsid w:val="0020310B"/>
    <w:rsid w:val="002046B6"/>
    <w:rsid w:val="0020771F"/>
    <w:rsid w:val="002077B9"/>
    <w:rsid w:val="002201A8"/>
    <w:rsid w:val="002214A7"/>
    <w:rsid w:val="0022454C"/>
    <w:rsid w:val="002301B2"/>
    <w:rsid w:val="00232C47"/>
    <w:rsid w:val="002409A5"/>
    <w:rsid w:val="0024170A"/>
    <w:rsid w:val="00244A1E"/>
    <w:rsid w:val="0024650B"/>
    <w:rsid w:val="002479FA"/>
    <w:rsid w:val="0025086C"/>
    <w:rsid w:val="002512AA"/>
    <w:rsid w:val="00251300"/>
    <w:rsid w:val="00251608"/>
    <w:rsid w:val="00252ECE"/>
    <w:rsid w:val="00253D9B"/>
    <w:rsid w:val="00253E25"/>
    <w:rsid w:val="00256F8C"/>
    <w:rsid w:val="00257557"/>
    <w:rsid w:val="002607EB"/>
    <w:rsid w:val="002621BC"/>
    <w:rsid w:val="00264297"/>
    <w:rsid w:val="00267974"/>
    <w:rsid w:val="00271DCA"/>
    <w:rsid w:val="0027308A"/>
    <w:rsid w:val="00274297"/>
    <w:rsid w:val="00274E0A"/>
    <w:rsid w:val="00275698"/>
    <w:rsid w:val="0027626E"/>
    <w:rsid w:val="0027651C"/>
    <w:rsid w:val="00280BBF"/>
    <w:rsid w:val="00281D5A"/>
    <w:rsid w:val="00284CBC"/>
    <w:rsid w:val="00285ED0"/>
    <w:rsid w:val="0028678F"/>
    <w:rsid w:val="00287843"/>
    <w:rsid w:val="00290416"/>
    <w:rsid w:val="00291055"/>
    <w:rsid w:val="0029376B"/>
    <w:rsid w:val="00294D16"/>
    <w:rsid w:val="0029520B"/>
    <w:rsid w:val="002A31E8"/>
    <w:rsid w:val="002A7D17"/>
    <w:rsid w:val="002B0CE9"/>
    <w:rsid w:val="002B1430"/>
    <w:rsid w:val="002B156B"/>
    <w:rsid w:val="002B17C0"/>
    <w:rsid w:val="002B1821"/>
    <w:rsid w:val="002B222C"/>
    <w:rsid w:val="002B4959"/>
    <w:rsid w:val="002B596F"/>
    <w:rsid w:val="002B6F04"/>
    <w:rsid w:val="002C0474"/>
    <w:rsid w:val="002C28F7"/>
    <w:rsid w:val="002C4FAE"/>
    <w:rsid w:val="002C7E26"/>
    <w:rsid w:val="002D185E"/>
    <w:rsid w:val="002D200E"/>
    <w:rsid w:val="002D22CF"/>
    <w:rsid w:val="002D471E"/>
    <w:rsid w:val="002D4FC6"/>
    <w:rsid w:val="002D7D52"/>
    <w:rsid w:val="002E0655"/>
    <w:rsid w:val="002E4EEE"/>
    <w:rsid w:val="002E7608"/>
    <w:rsid w:val="002E77C7"/>
    <w:rsid w:val="002F173A"/>
    <w:rsid w:val="002F3BCD"/>
    <w:rsid w:val="003021B5"/>
    <w:rsid w:val="003035B4"/>
    <w:rsid w:val="00303EC9"/>
    <w:rsid w:val="003046D3"/>
    <w:rsid w:val="00304BD6"/>
    <w:rsid w:val="00306AEF"/>
    <w:rsid w:val="003100B6"/>
    <w:rsid w:val="00326EDD"/>
    <w:rsid w:val="003307B0"/>
    <w:rsid w:val="0033185A"/>
    <w:rsid w:val="00333CC4"/>
    <w:rsid w:val="00334360"/>
    <w:rsid w:val="00335491"/>
    <w:rsid w:val="00335780"/>
    <w:rsid w:val="00335EDD"/>
    <w:rsid w:val="00336018"/>
    <w:rsid w:val="003406A7"/>
    <w:rsid w:val="0034212C"/>
    <w:rsid w:val="00343FC8"/>
    <w:rsid w:val="00351DF0"/>
    <w:rsid w:val="00352E40"/>
    <w:rsid w:val="0035611A"/>
    <w:rsid w:val="003562BA"/>
    <w:rsid w:val="00357C08"/>
    <w:rsid w:val="00357E95"/>
    <w:rsid w:val="00362265"/>
    <w:rsid w:val="003624F4"/>
    <w:rsid w:val="00362E92"/>
    <w:rsid w:val="00365348"/>
    <w:rsid w:val="00372590"/>
    <w:rsid w:val="00373391"/>
    <w:rsid w:val="00373E03"/>
    <w:rsid w:val="00374B13"/>
    <w:rsid w:val="0037621E"/>
    <w:rsid w:val="00386E49"/>
    <w:rsid w:val="003914D4"/>
    <w:rsid w:val="00391AA8"/>
    <w:rsid w:val="00397F41"/>
    <w:rsid w:val="003A0300"/>
    <w:rsid w:val="003A0731"/>
    <w:rsid w:val="003A1873"/>
    <w:rsid w:val="003A24CE"/>
    <w:rsid w:val="003B0386"/>
    <w:rsid w:val="003B14D0"/>
    <w:rsid w:val="003B460E"/>
    <w:rsid w:val="003B6802"/>
    <w:rsid w:val="003C33D6"/>
    <w:rsid w:val="003C43FA"/>
    <w:rsid w:val="003C49A4"/>
    <w:rsid w:val="003D1414"/>
    <w:rsid w:val="003D476D"/>
    <w:rsid w:val="003E03B8"/>
    <w:rsid w:val="003E0EB0"/>
    <w:rsid w:val="003E22FB"/>
    <w:rsid w:val="003E39BD"/>
    <w:rsid w:val="003E4B78"/>
    <w:rsid w:val="003E6E68"/>
    <w:rsid w:val="003F4C13"/>
    <w:rsid w:val="003F5BA1"/>
    <w:rsid w:val="003F7DF3"/>
    <w:rsid w:val="00400B8C"/>
    <w:rsid w:val="0040683B"/>
    <w:rsid w:val="004077CD"/>
    <w:rsid w:val="004104C1"/>
    <w:rsid w:val="004110CD"/>
    <w:rsid w:val="00412172"/>
    <w:rsid w:val="00414C0D"/>
    <w:rsid w:val="0041797B"/>
    <w:rsid w:val="00422755"/>
    <w:rsid w:val="00424C04"/>
    <w:rsid w:val="00427B22"/>
    <w:rsid w:val="004303D6"/>
    <w:rsid w:val="00432ED8"/>
    <w:rsid w:val="004400DF"/>
    <w:rsid w:val="00440494"/>
    <w:rsid w:val="004406B6"/>
    <w:rsid w:val="0044151A"/>
    <w:rsid w:val="00441FB9"/>
    <w:rsid w:val="00442E34"/>
    <w:rsid w:val="00443F85"/>
    <w:rsid w:val="004466B2"/>
    <w:rsid w:val="00446AC9"/>
    <w:rsid w:val="0045246F"/>
    <w:rsid w:val="00452475"/>
    <w:rsid w:val="00452F6B"/>
    <w:rsid w:val="00455465"/>
    <w:rsid w:val="0045626B"/>
    <w:rsid w:val="004563FF"/>
    <w:rsid w:val="004568CB"/>
    <w:rsid w:val="00457DF1"/>
    <w:rsid w:val="0046656C"/>
    <w:rsid w:val="00467A0C"/>
    <w:rsid w:val="00470F51"/>
    <w:rsid w:val="0047441C"/>
    <w:rsid w:val="00477FA1"/>
    <w:rsid w:val="00480553"/>
    <w:rsid w:val="004825BC"/>
    <w:rsid w:val="00483461"/>
    <w:rsid w:val="00483DE5"/>
    <w:rsid w:val="00487E69"/>
    <w:rsid w:val="00491657"/>
    <w:rsid w:val="004938C3"/>
    <w:rsid w:val="0049515E"/>
    <w:rsid w:val="004A0925"/>
    <w:rsid w:val="004A24E6"/>
    <w:rsid w:val="004A2EC1"/>
    <w:rsid w:val="004A4DCC"/>
    <w:rsid w:val="004B15C1"/>
    <w:rsid w:val="004B1769"/>
    <w:rsid w:val="004B2E21"/>
    <w:rsid w:val="004B5165"/>
    <w:rsid w:val="004B5AF1"/>
    <w:rsid w:val="004C1DA6"/>
    <w:rsid w:val="004C2C81"/>
    <w:rsid w:val="004C4767"/>
    <w:rsid w:val="004D04DD"/>
    <w:rsid w:val="004D167D"/>
    <w:rsid w:val="004D23EB"/>
    <w:rsid w:val="004D4E8E"/>
    <w:rsid w:val="004D6D91"/>
    <w:rsid w:val="004E0C0E"/>
    <w:rsid w:val="004E4C50"/>
    <w:rsid w:val="004E68F9"/>
    <w:rsid w:val="004E7221"/>
    <w:rsid w:val="004E73D2"/>
    <w:rsid w:val="004E73FB"/>
    <w:rsid w:val="004E7491"/>
    <w:rsid w:val="004E7581"/>
    <w:rsid w:val="004F3E37"/>
    <w:rsid w:val="004F5CF6"/>
    <w:rsid w:val="004F72D4"/>
    <w:rsid w:val="00500436"/>
    <w:rsid w:val="0050525C"/>
    <w:rsid w:val="00506548"/>
    <w:rsid w:val="00506C65"/>
    <w:rsid w:val="00507A1A"/>
    <w:rsid w:val="00510D62"/>
    <w:rsid w:val="005138B2"/>
    <w:rsid w:val="00521264"/>
    <w:rsid w:val="0052308C"/>
    <w:rsid w:val="005269C9"/>
    <w:rsid w:val="0053009E"/>
    <w:rsid w:val="0053060B"/>
    <w:rsid w:val="005326E7"/>
    <w:rsid w:val="00534633"/>
    <w:rsid w:val="00541647"/>
    <w:rsid w:val="00542D55"/>
    <w:rsid w:val="00551064"/>
    <w:rsid w:val="00552A1C"/>
    <w:rsid w:val="005613B6"/>
    <w:rsid w:val="00561B30"/>
    <w:rsid w:val="005623A9"/>
    <w:rsid w:val="00563925"/>
    <w:rsid w:val="00563FFB"/>
    <w:rsid w:val="005662F2"/>
    <w:rsid w:val="00566A3A"/>
    <w:rsid w:val="00571EA9"/>
    <w:rsid w:val="0057577F"/>
    <w:rsid w:val="00576D46"/>
    <w:rsid w:val="00577665"/>
    <w:rsid w:val="005816BB"/>
    <w:rsid w:val="00583AC9"/>
    <w:rsid w:val="00590C29"/>
    <w:rsid w:val="0059168A"/>
    <w:rsid w:val="00591A42"/>
    <w:rsid w:val="00591F16"/>
    <w:rsid w:val="00594161"/>
    <w:rsid w:val="005946B6"/>
    <w:rsid w:val="00597793"/>
    <w:rsid w:val="00597EC9"/>
    <w:rsid w:val="005B16E8"/>
    <w:rsid w:val="005B4ECB"/>
    <w:rsid w:val="005B7472"/>
    <w:rsid w:val="005C00AE"/>
    <w:rsid w:val="005C096D"/>
    <w:rsid w:val="005C26A8"/>
    <w:rsid w:val="005C6E7A"/>
    <w:rsid w:val="005C7967"/>
    <w:rsid w:val="005D3EB2"/>
    <w:rsid w:val="005D3F01"/>
    <w:rsid w:val="005D7760"/>
    <w:rsid w:val="005E2877"/>
    <w:rsid w:val="005E3FB5"/>
    <w:rsid w:val="005E475D"/>
    <w:rsid w:val="005E6234"/>
    <w:rsid w:val="005E7583"/>
    <w:rsid w:val="005F0DCD"/>
    <w:rsid w:val="005F142A"/>
    <w:rsid w:val="005F3348"/>
    <w:rsid w:val="005F336B"/>
    <w:rsid w:val="005F475A"/>
    <w:rsid w:val="005F49BD"/>
    <w:rsid w:val="005F4B56"/>
    <w:rsid w:val="005F5183"/>
    <w:rsid w:val="005F5CFF"/>
    <w:rsid w:val="005F5F97"/>
    <w:rsid w:val="005F78E2"/>
    <w:rsid w:val="005F79E5"/>
    <w:rsid w:val="005F7C5F"/>
    <w:rsid w:val="005F7F41"/>
    <w:rsid w:val="00600CAE"/>
    <w:rsid w:val="00601797"/>
    <w:rsid w:val="00601EEF"/>
    <w:rsid w:val="00603FE1"/>
    <w:rsid w:val="006042EB"/>
    <w:rsid w:val="00606B9A"/>
    <w:rsid w:val="0061128E"/>
    <w:rsid w:val="00611C37"/>
    <w:rsid w:val="006125CA"/>
    <w:rsid w:val="0062140B"/>
    <w:rsid w:val="006220E3"/>
    <w:rsid w:val="00625D10"/>
    <w:rsid w:val="00636D86"/>
    <w:rsid w:val="0064278E"/>
    <w:rsid w:val="0064589B"/>
    <w:rsid w:val="00646EB6"/>
    <w:rsid w:val="00652E1A"/>
    <w:rsid w:val="00653E6C"/>
    <w:rsid w:val="00654C27"/>
    <w:rsid w:val="00656A42"/>
    <w:rsid w:val="00656B8A"/>
    <w:rsid w:val="00657528"/>
    <w:rsid w:val="00661E37"/>
    <w:rsid w:val="006658D4"/>
    <w:rsid w:val="00670A78"/>
    <w:rsid w:val="006717DF"/>
    <w:rsid w:val="00672FD4"/>
    <w:rsid w:val="006743BE"/>
    <w:rsid w:val="006757F8"/>
    <w:rsid w:val="00677D2F"/>
    <w:rsid w:val="00681FB7"/>
    <w:rsid w:val="00682C79"/>
    <w:rsid w:val="006861BC"/>
    <w:rsid w:val="00687A49"/>
    <w:rsid w:val="006930B4"/>
    <w:rsid w:val="006A452F"/>
    <w:rsid w:val="006A4BA7"/>
    <w:rsid w:val="006B0664"/>
    <w:rsid w:val="006B3687"/>
    <w:rsid w:val="006B455C"/>
    <w:rsid w:val="006C019A"/>
    <w:rsid w:val="006C0CCB"/>
    <w:rsid w:val="006C20E8"/>
    <w:rsid w:val="006C2779"/>
    <w:rsid w:val="006C64BE"/>
    <w:rsid w:val="006D0EE7"/>
    <w:rsid w:val="006D1048"/>
    <w:rsid w:val="006D5D5F"/>
    <w:rsid w:val="006D6130"/>
    <w:rsid w:val="006D6AA9"/>
    <w:rsid w:val="006E085D"/>
    <w:rsid w:val="006E1234"/>
    <w:rsid w:val="006E2560"/>
    <w:rsid w:val="006E48A0"/>
    <w:rsid w:val="006E4D4B"/>
    <w:rsid w:val="006E693A"/>
    <w:rsid w:val="006F0537"/>
    <w:rsid w:val="006F0EAB"/>
    <w:rsid w:val="006F15FE"/>
    <w:rsid w:val="006F5BD7"/>
    <w:rsid w:val="006F7FA4"/>
    <w:rsid w:val="00700BBA"/>
    <w:rsid w:val="00702DB0"/>
    <w:rsid w:val="00710560"/>
    <w:rsid w:val="00713C10"/>
    <w:rsid w:val="007140AD"/>
    <w:rsid w:val="00716F50"/>
    <w:rsid w:val="00717E5C"/>
    <w:rsid w:val="00721014"/>
    <w:rsid w:val="00721FF8"/>
    <w:rsid w:val="007319FE"/>
    <w:rsid w:val="00737143"/>
    <w:rsid w:val="00740243"/>
    <w:rsid w:val="00741503"/>
    <w:rsid w:val="00744BCC"/>
    <w:rsid w:val="00750226"/>
    <w:rsid w:val="00753FCA"/>
    <w:rsid w:val="00760810"/>
    <w:rsid w:val="00764EC9"/>
    <w:rsid w:val="0076649A"/>
    <w:rsid w:val="00767D59"/>
    <w:rsid w:val="007701A1"/>
    <w:rsid w:val="0077131B"/>
    <w:rsid w:val="0077213F"/>
    <w:rsid w:val="00773389"/>
    <w:rsid w:val="00780921"/>
    <w:rsid w:val="007815ED"/>
    <w:rsid w:val="00782044"/>
    <w:rsid w:val="007911E1"/>
    <w:rsid w:val="00792C2C"/>
    <w:rsid w:val="007A1250"/>
    <w:rsid w:val="007A6535"/>
    <w:rsid w:val="007B109D"/>
    <w:rsid w:val="007B3AC0"/>
    <w:rsid w:val="007B447E"/>
    <w:rsid w:val="007C33BF"/>
    <w:rsid w:val="007C3810"/>
    <w:rsid w:val="007C6BA2"/>
    <w:rsid w:val="007D06E7"/>
    <w:rsid w:val="007D1A91"/>
    <w:rsid w:val="007D1FB9"/>
    <w:rsid w:val="007D552A"/>
    <w:rsid w:val="007D7F64"/>
    <w:rsid w:val="007E0BDF"/>
    <w:rsid w:val="007E1EAE"/>
    <w:rsid w:val="007E2703"/>
    <w:rsid w:val="007F397F"/>
    <w:rsid w:val="007F55FC"/>
    <w:rsid w:val="0080014A"/>
    <w:rsid w:val="008035C8"/>
    <w:rsid w:val="008037BF"/>
    <w:rsid w:val="0080491A"/>
    <w:rsid w:val="00806520"/>
    <w:rsid w:val="008076B4"/>
    <w:rsid w:val="00811D46"/>
    <w:rsid w:val="008146B0"/>
    <w:rsid w:val="0082251B"/>
    <w:rsid w:val="00822809"/>
    <w:rsid w:val="0082357B"/>
    <w:rsid w:val="00825BF9"/>
    <w:rsid w:val="00826E87"/>
    <w:rsid w:val="008276F8"/>
    <w:rsid w:val="008326B0"/>
    <w:rsid w:val="00832B40"/>
    <w:rsid w:val="00834B73"/>
    <w:rsid w:val="008410D2"/>
    <w:rsid w:val="0085098D"/>
    <w:rsid w:val="00854EA5"/>
    <w:rsid w:val="00854F16"/>
    <w:rsid w:val="008632C7"/>
    <w:rsid w:val="0086376E"/>
    <w:rsid w:val="00864E16"/>
    <w:rsid w:val="00866FA4"/>
    <w:rsid w:val="00866FF6"/>
    <w:rsid w:val="00870B82"/>
    <w:rsid w:val="00871CCB"/>
    <w:rsid w:val="008727D4"/>
    <w:rsid w:val="0087286D"/>
    <w:rsid w:val="0087298C"/>
    <w:rsid w:val="00873BB9"/>
    <w:rsid w:val="00875C78"/>
    <w:rsid w:val="00882A83"/>
    <w:rsid w:val="008834C3"/>
    <w:rsid w:val="00883627"/>
    <w:rsid w:val="00887147"/>
    <w:rsid w:val="00892A86"/>
    <w:rsid w:val="0089407C"/>
    <w:rsid w:val="00894449"/>
    <w:rsid w:val="0089617E"/>
    <w:rsid w:val="0089648C"/>
    <w:rsid w:val="00896C18"/>
    <w:rsid w:val="00897E4E"/>
    <w:rsid w:val="008A05D4"/>
    <w:rsid w:val="008A3EF0"/>
    <w:rsid w:val="008A5F52"/>
    <w:rsid w:val="008B00B4"/>
    <w:rsid w:val="008B09A3"/>
    <w:rsid w:val="008B0FE3"/>
    <w:rsid w:val="008B13D5"/>
    <w:rsid w:val="008B6E25"/>
    <w:rsid w:val="008B7AF6"/>
    <w:rsid w:val="008C310B"/>
    <w:rsid w:val="008C5DFB"/>
    <w:rsid w:val="008C76C4"/>
    <w:rsid w:val="008D4AB4"/>
    <w:rsid w:val="008D580C"/>
    <w:rsid w:val="008E0121"/>
    <w:rsid w:val="008E18CC"/>
    <w:rsid w:val="008E3855"/>
    <w:rsid w:val="008E7305"/>
    <w:rsid w:val="008F07D7"/>
    <w:rsid w:val="008F1065"/>
    <w:rsid w:val="008F5731"/>
    <w:rsid w:val="008F61DF"/>
    <w:rsid w:val="008F6BFB"/>
    <w:rsid w:val="008F6DBB"/>
    <w:rsid w:val="008F7812"/>
    <w:rsid w:val="0091073A"/>
    <w:rsid w:val="00911BB1"/>
    <w:rsid w:val="0091276D"/>
    <w:rsid w:val="009166F6"/>
    <w:rsid w:val="00922C42"/>
    <w:rsid w:val="009240B1"/>
    <w:rsid w:val="009271FF"/>
    <w:rsid w:val="00932C14"/>
    <w:rsid w:val="0093472B"/>
    <w:rsid w:val="00936E1F"/>
    <w:rsid w:val="009460D5"/>
    <w:rsid w:val="0095455E"/>
    <w:rsid w:val="00963190"/>
    <w:rsid w:val="00964439"/>
    <w:rsid w:val="00967178"/>
    <w:rsid w:val="00970C33"/>
    <w:rsid w:val="00972272"/>
    <w:rsid w:val="00972ECA"/>
    <w:rsid w:val="009735CA"/>
    <w:rsid w:val="009737FF"/>
    <w:rsid w:val="009739B2"/>
    <w:rsid w:val="00975584"/>
    <w:rsid w:val="0097608D"/>
    <w:rsid w:val="00990977"/>
    <w:rsid w:val="00990CC4"/>
    <w:rsid w:val="00993921"/>
    <w:rsid w:val="009940B6"/>
    <w:rsid w:val="009960F5"/>
    <w:rsid w:val="00996C1B"/>
    <w:rsid w:val="00997F94"/>
    <w:rsid w:val="009A0D9C"/>
    <w:rsid w:val="009A17E5"/>
    <w:rsid w:val="009A664C"/>
    <w:rsid w:val="009B06BF"/>
    <w:rsid w:val="009B2650"/>
    <w:rsid w:val="009B3CD7"/>
    <w:rsid w:val="009B6448"/>
    <w:rsid w:val="009B6B72"/>
    <w:rsid w:val="009C24E9"/>
    <w:rsid w:val="009C5CC6"/>
    <w:rsid w:val="009C6FC0"/>
    <w:rsid w:val="009C733C"/>
    <w:rsid w:val="009C7747"/>
    <w:rsid w:val="009D2622"/>
    <w:rsid w:val="009D432A"/>
    <w:rsid w:val="009D5535"/>
    <w:rsid w:val="009D5701"/>
    <w:rsid w:val="009D5A46"/>
    <w:rsid w:val="009D6D73"/>
    <w:rsid w:val="009E17E6"/>
    <w:rsid w:val="009E2AEF"/>
    <w:rsid w:val="009E323A"/>
    <w:rsid w:val="009E485F"/>
    <w:rsid w:val="009E5DA1"/>
    <w:rsid w:val="009E789C"/>
    <w:rsid w:val="009F27A7"/>
    <w:rsid w:val="009F3CC8"/>
    <w:rsid w:val="009F5ACB"/>
    <w:rsid w:val="009F772D"/>
    <w:rsid w:val="009F7F0C"/>
    <w:rsid w:val="00A0019E"/>
    <w:rsid w:val="00A003A6"/>
    <w:rsid w:val="00A010E1"/>
    <w:rsid w:val="00A01469"/>
    <w:rsid w:val="00A02BD6"/>
    <w:rsid w:val="00A04A98"/>
    <w:rsid w:val="00A106F0"/>
    <w:rsid w:val="00A11303"/>
    <w:rsid w:val="00A137CD"/>
    <w:rsid w:val="00A13E2D"/>
    <w:rsid w:val="00A2112B"/>
    <w:rsid w:val="00A215BA"/>
    <w:rsid w:val="00A21631"/>
    <w:rsid w:val="00A259E7"/>
    <w:rsid w:val="00A26778"/>
    <w:rsid w:val="00A27CE9"/>
    <w:rsid w:val="00A30725"/>
    <w:rsid w:val="00A30BD3"/>
    <w:rsid w:val="00A37473"/>
    <w:rsid w:val="00A43841"/>
    <w:rsid w:val="00A44DD6"/>
    <w:rsid w:val="00A46592"/>
    <w:rsid w:val="00A605DC"/>
    <w:rsid w:val="00A60BD1"/>
    <w:rsid w:val="00A61010"/>
    <w:rsid w:val="00A61892"/>
    <w:rsid w:val="00A63F0F"/>
    <w:rsid w:val="00A652C9"/>
    <w:rsid w:val="00A6633C"/>
    <w:rsid w:val="00A67A0D"/>
    <w:rsid w:val="00A70185"/>
    <w:rsid w:val="00A71592"/>
    <w:rsid w:val="00A738A1"/>
    <w:rsid w:val="00A81556"/>
    <w:rsid w:val="00A828EA"/>
    <w:rsid w:val="00A848E2"/>
    <w:rsid w:val="00A860D5"/>
    <w:rsid w:val="00A87A6B"/>
    <w:rsid w:val="00A90D4C"/>
    <w:rsid w:val="00A9168A"/>
    <w:rsid w:val="00A956ED"/>
    <w:rsid w:val="00AA1CE8"/>
    <w:rsid w:val="00AA3CC7"/>
    <w:rsid w:val="00AA4B4E"/>
    <w:rsid w:val="00AB1A4D"/>
    <w:rsid w:val="00AB1B68"/>
    <w:rsid w:val="00AB3A8D"/>
    <w:rsid w:val="00AB6DA8"/>
    <w:rsid w:val="00AC2920"/>
    <w:rsid w:val="00AC60AD"/>
    <w:rsid w:val="00AD10FB"/>
    <w:rsid w:val="00AD2DB6"/>
    <w:rsid w:val="00AD7B6B"/>
    <w:rsid w:val="00AE07D2"/>
    <w:rsid w:val="00AE2137"/>
    <w:rsid w:val="00AE2EEC"/>
    <w:rsid w:val="00AE5BC1"/>
    <w:rsid w:val="00AE6693"/>
    <w:rsid w:val="00AF0B71"/>
    <w:rsid w:val="00AF1C1F"/>
    <w:rsid w:val="00AF3CB6"/>
    <w:rsid w:val="00AF6731"/>
    <w:rsid w:val="00B00342"/>
    <w:rsid w:val="00B01593"/>
    <w:rsid w:val="00B03D45"/>
    <w:rsid w:val="00B03FA6"/>
    <w:rsid w:val="00B0466C"/>
    <w:rsid w:val="00B06816"/>
    <w:rsid w:val="00B079E9"/>
    <w:rsid w:val="00B10F90"/>
    <w:rsid w:val="00B151A4"/>
    <w:rsid w:val="00B15DB7"/>
    <w:rsid w:val="00B167CD"/>
    <w:rsid w:val="00B2279B"/>
    <w:rsid w:val="00B24D7A"/>
    <w:rsid w:val="00B254B1"/>
    <w:rsid w:val="00B255DD"/>
    <w:rsid w:val="00B27618"/>
    <w:rsid w:val="00B32264"/>
    <w:rsid w:val="00B33A3D"/>
    <w:rsid w:val="00B34A42"/>
    <w:rsid w:val="00B370DA"/>
    <w:rsid w:val="00B375FF"/>
    <w:rsid w:val="00B37AA9"/>
    <w:rsid w:val="00B405B6"/>
    <w:rsid w:val="00B41B96"/>
    <w:rsid w:val="00B42274"/>
    <w:rsid w:val="00B45A05"/>
    <w:rsid w:val="00B46870"/>
    <w:rsid w:val="00B47636"/>
    <w:rsid w:val="00B504F2"/>
    <w:rsid w:val="00B524F8"/>
    <w:rsid w:val="00B541B6"/>
    <w:rsid w:val="00B57306"/>
    <w:rsid w:val="00B57D37"/>
    <w:rsid w:val="00B609AF"/>
    <w:rsid w:val="00B60E20"/>
    <w:rsid w:val="00B614A2"/>
    <w:rsid w:val="00B64401"/>
    <w:rsid w:val="00B7004E"/>
    <w:rsid w:val="00B710AA"/>
    <w:rsid w:val="00B7130B"/>
    <w:rsid w:val="00B71777"/>
    <w:rsid w:val="00B72146"/>
    <w:rsid w:val="00B7505F"/>
    <w:rsid w:val="00B76B99"/>
    <w:rsid w:val="00B8090B"/>
    <w:rsid w:val="00B819DD"/>
    <w:rsid w:val="00B81A58"/>
    <w:rsid w:val="00B824B4"/>
    <w:rsid w:val="00B82759"/>
    <w:rsid w:val="00B82931"/>
    <w:rsid w:val="00B928A1"/>
    <w:rsid w:val="00B93086"/>
    <w:rsid w:val="00B93677"/>
    <w:rsid w:val="00B93B7D"/>
    <w:rsid w:val="00BA1C2A"/>
    <w:rsid w:val="00BA2581"/>
    <w:rsid w:val="00BA2B2A"/>
    <w:rsid w:val="00BB3094"/>
    <w:rsid w:val="00BB3283"/>
    <w:rsid w:val="00BB499E"/>
    <w:rsid w:val="00BB5537"/>
    <w:rsid w:val="00BB69F8"/>
    <w:rsid w:val="00BB6C3B"/>
    <w:rsid w:val="00BB7596"/>
    <w:rsid w:val="00BC2021"/>
    <w:rsid w:val="00BC2BC0"/>
    <w:rsid w:val="00BC37B4"/>
    <w:rsid w:val="00BC4187"/>
    <w:rsid w:val="00BC6189"/>
    <w:rsid w:val="00BC69FE"/>
    <w:rsid w:val="00BC7560"/>
    <w:rsid w:val="00BD4414"/>
    <w:rsid w:val="00BD4D90"/>
    <w:rsid w:val="00BD4F19"/>
    <w:rsid w:val="00BD5372"/>
    <w:rsid w:val="00BD6986"/>
    <w:rsid w:val="00BD7352"/>
    <w:rsid w:val="00BE0E23"/>
    <w:rsid w:val="00BE274B"/>
    <w:rsid w:val="00BE2E19"/>
    <w:rsid w:val="00BE3BE0"/>
    <w:rsid w:val="00BF0967"/>
    <w:rsid w:val="00C01E9A"/>
    <w:rsid w:val="00C02007"/>
    <w:rsid w:val="00C03BA2"/>
    <w:rsid w:val="00C05BB6"/>
    <w:rsid w:val="00C05F95"/>
    <w:rsid w:val="00C07326"/>
    <w:rsid w:val="00C10F02"/>
    <w:rsid w:val="00C11B7E"/>
    <w:rsid w:val="00C12B8B"/>
    <w:rsid w:val="00C16513"/>
    <w:rsid w:val="00C1756D"/>
    <w:rsid w:val="00C20928"/>
    <w:rsid w:val="00C20E6C"/>
    <w:rsid w:val="00C21207"/>
    <w:rsid w:val="00C21346"/>
    <w:rsid w:val="00C21635"/>
    <w:rsid w:val="00C34E6E"/>
    <w:rsid w:val="00C359DA"/>
    <w:rsid w:val="00C40312"/>
    <w:rsid w:val="00C4213D"/>
    <w:rsid w:val="00C430E7"/>
    <w:rsid w:val="00C50728"/>
    <w:rsid w:val="00C53697"/>
    <w:rsid w:val="00C5743A"/>
    <w:rsid w:val="00C57587"/>
    <w:rsid w:val="00C60256"/>
    <w:rsid w:val="00C61251"/>
    <w:rsid w:val="00C626C5"/>
    <w:rsid w:val="00C63A53"/>
    <w:rsid w:val="00C65096"/>
    <w:rsid w:val="00C714CF"/>
    <w:rsid w:val="00C761B8"/>
    <w:rsid w:val="00C81A69"/>
    <w:rsid w:val="00C83472"/>
    <w:rsid w:val="00C837A2"/>
    <w:rsid w:val="00C85CE0"/>
    <w:rsid w:val="00C90BD2"/>
    <w:rsid w:val="00C91679"/>
    <w:rsid w:val="00C949C4"/>
    <w:rsid w:val="00C95FD4"/>
    <w:rsid w:val="00C9773D"/>
    <w:rsid w:val="00CA3B03"/>
    <w:rsid w:val="00CB1A09"/>
    <w:rsid w:val="00CB3620"/>
    <w:rsid w:val="00CB3E1B"/>
    <w:rsid w:val="00CB7921"/>
    <w:rsid w:val="00CC20F8"/>
    <w:rsid w:val="00CC3468"/>
    <w:rsid w:val="00CD255A"/>
    <w:rsid w:val="00CD286C"/>
    <w:rsid w:val="00CD64D9"/>
    <w:rsid w:val="00CE5EEC"/>
    <w:rsid w:val="00CE647F"/>
    <w:rsid w:val="00CE6D23"/>
    <w:rsid w:val="00CF13A2"/>
    <w:rsid w:val="00CF2FEC"/>
    <w:rsid w:val="00CF4AEE"/>
    <w:rsid w:val="00CF5AF0"/>
    <w:rsid w:val="00D01443"/>
    <w:rsid w:val="00D03CC1"/>
    <w:rsid w:val="00D05670"/>
    <w:rsid w:val="00D06203"/>
    <w:rsid w:val="00D12F8F"/>
    <w:rsid w:val="00D14EF7"/>
    <w:rsid w:val="00D168AB"/>
    <w:rsid w:val="00D202B9"/>
    <w:rsid w:val="00D20698"/>
    <w:rsid w:val="00D209EA"/>
    <w:rsid w:val="00D20F4F"/>
    <w:rsid w:val="00D229ED"/>
    <w:rsid w:val="00D2497A"/>
    <w:rsid w:val="00D24ADD"/>
    <w:rsid w:val="00D24FD6"/>
    <w:rsid w:val="00D25B13"/>
    <w:rsid w:val="00D2640B"/>
    <w:rsid w:val="00D2774B"/>
    <w:rsid w:val="00D32268"/>
    <w:rsid w:val="00D33B9B"/>
    <w:rsid w:val="00D350C9"/>
    <w:rsid w:val="00D37D62"/>
    <w:rsid w:val="00D407DC"/>
    <w:rsid w:val="00D40EB3"/>
    <w:rsid w:val="00D411D8"/>
    <w:rsid w:val="00D415BA"/>
    <w:rsid w:val="00D43406"/>
    <w:rsid w:val="00D472BB"/>
    <w:rsid w:val="00D52DC9"/>
    <w:rsid w:val="00D52F68"/>
    <w:rsid w:val="00D53363"/>
    <w:rsid w:val="00D5685D"/>
    <w:rsid w:val="00D60FC2"/>
    <w:rsid w:val="00D61D7D"/>
    <w:rsid w:val="00D62C67"/>
    <w:rsid w:val="00D63AFD"/>
    <w:rsid w:val="00D67926"/>
    <w:rsid w:val="00D75463"/>
    <w:rsid w:val="00D83434"/>
    <w:rsid w:val="00D84BDB"/>
    <w:rsid w:val="00D8649E"/>
    <w:rsid w:val="00D87446"/>
    <w:rsid w:val="00D87A4D"/>
    <w:rsid w:val="00D91225"/>
    <w:rsid w:val="00D92AB6"/>
    <w:rsid w:val="00D92F6B"/>
    <w:rsid w:val="00D95897"/>
    <w:rsid w:val="00D96F84"/>
    <w:rsid w:val="00DA16CF"/>
    <w:rsid w:val="00DA25D9"/>
    <w:rsid w:val="00DA59F1"/>
    <w:rsid w:val="00DB3291"/>
    <w:rsid w:val="00DB3BDB"/>
    <w:rsid w:val="00DC0391"/>
    <w:rsid w:val="00DC0BD7"/>
    <w:rsid w:val="00DC2800"/>
    <w:rsid w:val="00DC7E00"/>
    <w:rsid w:val="00DD4F03"/>
    <w:rsid w:val="00DD5E4A"/>
    <w:rsid w:val="00DD722D"/>
    <w:rsid w:val="00DE0BAA"/>
    <w:rsid w:val="00DE11AB"/>
    <w:rsid w:val="00DE2792"/>
    <w:rsid w:val="00DE4E69"/>
    <w:rsid w:val="00DE7928"/>
    <w:rsid w:val="00DF05BF"/>
    <w:rsid w:val="00DF1A21"/>
    <w:rsid w:val="00DF2836"/>
    <w:rsid w:val="00DF33DE"/>
    <w:rsid w:val="00DF33ED"/>
    <w:rsid w:val="00DF7938"/>
    <w:rsid w:val="00DF79BB"/>
    <w:rsid w:val="00E019F7"/>
    <w:rsid w:val="00E01AFB"/>
    <w:rsid w:val="00E03169"/>
    <w:rsid w:val="00E0554B"/>
    <w:rsid w:val="00E0636D"/>
    <w:rsid w:val="00E0639C"/>
    <w:rsid w:val="00E1231F"/>
    <w:rsid w:val="00E1306E"/>
    <w:rsid w:val="00E14D3E"/>
    <w:rsid w:val="00E15E42"/>
    <w:rsid w:val="00E2017A"/>
    <w:rsid w:val="00E243A8"/>
    <w:rsid w:val="00E250D5"/>
    <w:rsid w:val="00E25F0B"/>
    <w:rsid w:val="00E262C5"/>
    <w:rsid w:val="00E26829"/>
    <w:rsid w:val="00E27D6C"/>
    <w:rsid w:val="00E30BD1"/>
    <w:rsid w:val="00E32F2C"/>
    <w:rsid w:val="00E335E9"/>
    <w:rsid w:val="00E34EE9"/>
    <w:rsid w:val="00E356DC"/>
    <w:rsid w:val="00E36753"/>
    <w:rsid w:val="00E40ACA"/>
    <w:rsid w:val="00E40F28"/>
    <w:rsid w:val="00E46774"/>
    <w:rsid w:val="00E5027E"/>
    <w:rsid w:val="00E50A62"/>
    <w:rsid w:val="00E50A92"/>
    <w:rsid w:val="00E51261"/>
    <w:rsid w:val="00E55333"/>
    <w:rsid w:val="00E55A73"/>
    <w:rsid w:val="00E55EAB"/>
    <w:rsid w:val="00E57527"/>
    <w:rsid w:val="00E60318"/>
    <w:rsid w:val="00E60BCF"/>
    <w:rsid w:val="00E613A3"/>
    <w:rsid w:val="00E6212F"/>
    <w:rsid w:val="00E67FF3"/>
    <w:rsid w:val="00E70754"/>
    <w:rsid w:val="00E80440"/>
    <w:rsid w:val="00E84C64"/>
    <w:rsid w:val="00E93249"/>
    <w:rsid w:val="00E9332A"/>
    <w:rsid w:val="00E95F9D"/>
    <w:rsid w:val="00E960E0"/>
    <w:rsid w:val="00E96F9D"/>
    <w:rsid w:val="00EA03AC"/>
    <w:rsid w:val="00EA084E"/>
    <w:rsid w:val="00EA0E05"/>
    <w:rsid w:val="00EA145B"/>
    <w:rsid w:val="00EA2B2C"/>
    <w:rsid w:val="00EA5BFA"/>
    <w:rsid w:val="00EB3001"/>
    <w:rsid w:val="00EB4892"/>
    <w:rsid w:val="00EB5D15"/>
    <w:rsid w:val="00EB6122"/>
    <w:rsid w:val="00EC0F54"/>
    <w:rsid w:val="00EC14EE"/>
    <w:rsid w:val="00EC1FE0"/>
    <w:rsid w:val="00EC251F"/>
    <w:rsid w:val="00EC3076"/>
    <w:rsid w:val="00EC4690"/>
    <w:rsid w:val="00EC6739"/>
    <w:rsid w:val="00EC71DF"/>
    <w:rsid w:val="00ED10E0"/>
    <w:rsid w:val="00ED317F"/>
    <w:rsid w:val="00ED44F2"/>
    <w:rsid w:val="00ED6415"/>
    <w:rsid w:val="00ED6CE7"/>
    <w:rsid w:val="00EE0FFA"/>
    <w:rsid w:val="00EE2D32"/>
    <w:rsid w:val="00EF03AE"/>
    <w:rsid w:val="00EF30D5"/>
    <w:rsid w:val="00EF387F"/>
    <w:rsid w:val="00F017E5"/>
    <w:rsid w:val="00F030C8"/>
    <w:rsid w:val="00F0377E"/>
    <w:rsid w:val="00F03FE1"/>
    <w:rsid w:val="00F12F25"/>
    <w:rsid w:val="00F2277C"/>
    <w:rsid w:val="00F246C0"/>
    <w:rsid w:val="00F3004E"/>
    <w:rsid w:val="00F31BF3"/>
    <w:rsid w:val="00F320FE"/>
    <w:rsid w:val="00F36DD9"/>
    <w:rsid w:val="00F37687"/>
    <w:rsid w:val="00F430B2"/>
    <w:rsid w:val="00F5073A"/>
    <w:rsid w:val="00F509DC"/>
    <w:rsid w:val="00F54D52"/>
    <w:rsid w:val="00F5558B"/>
    <w:rsid w:val="00F56450"/>
    <w:rsid w:val="00F56606"/>
    <w:rsid w:val="00F657D6"/>
    <w:rsid w:val="00F65827"/>
    <w:rsid w:val="00F65E5A"/>
    <w:rsid w:val="00F70D5E"/>
    <w:rsid w:val="00F71BD7"/>
    <w:rsid w:val="00F721E6"/>
    <w:rsid w:val="00F722B8"/>
    <w:rsid w:val="00F746B6"/>
    <w:rsid w:val="00F77350"/>
    <w:rsid w:val="00F801C1"/>
    <w:rsid w:val="00F80BCA"/>
    <w:rsid w:val="00F80E5E"/>
    <w:rsid w:val="00F814A8"/>
    <w:rsid w:val="00F81822"/>
    <w:rsid w:val="00F83A1D"/>
    <w:rsid w:val="00F910EF"/>
    <w:rsid w:val="00F95755"/>
    <w:rsid w:val="00FA2731"/>
    <w:rsid w:val="00FA3D37"/>
    <w:rsid w:val="00FA61D7"/>
    <w:rsid w:val="00FA67C8"/>
    <w:rsid w:val="00FA7775"/>
    <w:rsid w:val="00FA7C37"/>
    <w:rsid w:val="00FB0AB9"/>
    <w:rsid w:val="00FB1911"/>
    <w:rsid w:val="00FB1AD9"/>
    <w:rsid w:val="00FB347B"/>
    <w:rsid w:val="00FB4CBF"/>
    <w:rsid w:val="00FB5415"/>
    <w:rsid w:val="00FB67BD"/>
    <w:rsid w:val="00FC3263"/>
    <w:rsid w:val="00FC49FB"/>
    <w:rsid w:val="00FC4DCF"/>
    <w:rsid w:val="00FD01C9"/>
    <w:rsid w:val="00FD0868"/>
    <w:rsid w:val="00FD088C"/>
    <w:rsid w:val="00FD1577"/>
    <w:rsid w:val="00FD340D"/>
    <w:rsid w:val="00FD65FE"/>
    <w:rsid w:val="00FE0285"/>
    <w:rsid w:val="00FE0A8F"/>
    <w:rsid w:val="00FE0C9B"/>
    <w:rsid w:val="00FE3F8D"/>
    <w:rsid w:val="00FE6C74"/>
    <w:rsid w:val="00FE7A54"/>
    <w:rsid w:val="00FF26FF"/>
    <w:rsid w:val="00FF4537"/>
    <w:rsid w:val="00FF5B60"/>
    <w:rsid w:val="00FF7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F766"/>
  <w15:chartTrackingRefBased/>
  <w15:docId w15:val="{1E094E93-3938-4E11-A1F5-E3B65DF99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E8044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80440"/>
    <w:rPr>
      <w:sz w:val="20"/>
      <w:szCs w:val="20"/>
    </w:rPr>
  </w:style>
  <w:style w:type="character" w:styleId="Odwoanieprzypisukocowego">
    <w:name w:val="endnote reference"/>
    <w:basedOn w:val="Domylnaczcionkaakapitu"/>
    <w:uiPriority w:val="99"/>
    <w:semiHidden/>
    <w:unhideWhenUsed/>
    <w:rsid w:val="00E80440"/>
    <w:rPr>
      <w:vertAlign w:val="superscript"/>
    </w:rPr>
  </w:style>
  <w:style w:type="paragraph" w:styleId="Tekstprzypisudolnego">
    <w:name w:val="footnote text"/>
    <w:basedOn w:val="Normalny"/>
    <w:link w:val="TekstprzypisudolnegoZnak"/>
    <w:uiPriority w:val="99"/>
    <w:semiHidden/>
    <w:unhideWhenUsed/>
    <w:rsid w:val="00C81A6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81A69"/>
    <w:rPr>
      <w:sz w:val="20"/>
      <w:szCs w:val="20"/>
    </w:rPr>
  </w:style>
  <w:style w:type="character" w:styleId="Odwoanieprzypisudolnego">
    <w:name w:val="footnote reference"/>
    <w:basedOn w:val="Domylnaczcionkaakapitu"/>
    <w:uiPriority w:val="99"/>
    <w:semiHidden/>
    <w:unhideWhenUsed/>
    <w:rsid w:val="00C81A69"/>
    <w:rPr>
      <w:vertAlign w:val="superscript"/>
    </w:rPr>
  </w:style>
  <w:style w:type="paragraph" w:styleId="Akapitzlist">
    <w:name w:val="List Paragraph"/>
    <w:basedOn w:val="Normalny"/>
    <w:uiPriority w:val="34"/>
    <w:qFormat/>
    <w:rsid w:val="00452475"/>
    <w:pPr>
      <w:ind w:left="720"/>
      <w:contextualSpacing/>
    </w:pPr>
  </w:style>
  <w:style w:type="character" w:styleId="Hipercze">
    <w:name w:val="Hyperlink"/>
    <w:basedOn w:val="Domylnaczcionkaakapitu"/>
    <w:uiPriority w:val="99"/>
    <w:unhideWhenUsed/>
    <w:rsid w:val="00C359DA"/>
    <w:rPr>
      <w:color w:val="0563C1" w:themeColor="hyperlink"/>
      <w:u w:val="single"/>
    </w:rPr>
  </w:style>
  <w:style w:type="table" w:styleId="Zwykatabela2">
    <w:name w:val="Plain Table 2"/>
    <w:basedOn w:val="Standardowy"/>
    <w:uiPriority w:val="42"/>
    <w:rsid w:val="002B6F0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Siatka">
    <w:name w:val="Table Grid"/>
    <w:basedOn w:val="Standardowy"/>
    <w:uiPriority w:val="39"/>
    <w:rsid w:val="009B0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3">
    <w:name w:val="Plain Table 3"/>
    <w:basedOn w:val="Standardowy"/>
    <w:uiPriority w:val="43"/>
    <w:rsid w:val="00E613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listy6kolorowa">
    <w:name w:val="List Table 6 Colorful"/>
    <w:basedOn w:val="Standardowy"/>
    <w:uiPriority w:val="51"/>
    <w:rsid w:val="00E613A3"/>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dwoaniedokomentarza">
    <w:name w:val="annotation reference"/>
    <w:basedOn w:val="Domylnaczcionkaakapitu"/>
    <w:uiPriority w:val="99"/>
    <w:semiHidden/>
    <w:unhideWhenUsed/>
    <w:rsid w:val="00113CDA"/>
    <w:rPr>
      <w:sz w:val="16"/>
      <w:szCs w:val="16"/>
    </w:rPr>
  </w:style>
  <w:style w:type="paragraph" w:styleId="Tekstkomentarza">
    <w:name w:val="annotation text"/>
    <w:basedOn w:val="Normalny"/>
    <w:link w:val="TekstkomentarzaZnak"/>
    <w:uiPriority w:val="99"/>
    <w:semiHidden/>
    <w:unhideWhenUsed/>
    <w:rsid w:val="00113CD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13CDA"/>
    <w:rPr>
      <w:sz w:val="20"/>
      <w:szCs w:val="20"/>
    </w:rPr>
  </w:style>
  <w:style w:type="paragraph" w:styleId="Tekstdymka">
    <w:name w:val="Balloon Text"/>
    <w:basedOn w:val="Normalny"/>
    <w:link w:val="TekstdymkaZnak"/>
    <w:uiPriority w:val="99"/>
    <w:semiHidden/>
    <w:unhideWhenUsed/>
    <w:rsid w:val="00113CD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3CDA"/>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3406A7"/>
    <w:rPr>
      <w:b/>
      <w:bCs/>
    </w:rPr>
  </w:style>
  <w:style w:type="character" w:customStyle="1" w:styleId="TematkomentarzaZnak">
    <w:name w:val="Temat komentarza Znak"/>
    <w:basedOn w:val="TekstkomentarzaZnak"/>
    <w:link w:val="Tematkomentarza"/>
    <w:uiPriority w:val="99"/>
    <w:semiHidden/>
    <w:rsid w:val="003406A7"/>
    <w:rPr>
      <w:b/>
      <w:bCs/>
      <w:sz w:val="20"/>
      <w:szCs w:val="20"/>
    </w:rPr>
  </w:style>
  <w:style w:type="paragraph" w:styleId="NormalnyWeb">
    <w:name w:val="Normal (Web)"/>
    <w:basedOn w:val="Normalny"/>
    <w:uiPriority w:val="99"/>
    <w:semiHidden/>
    <w:unhideWhenUsed/>
    <w:rsid w:val="00BA1C2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19670">
      <w:bodyDiv w:val="1"/>
      <w:marLeft w:val="0"/>
      <w:marRight w:val="0"/>
      <w:marTop w:val="0"/>
      <w:marBottom w:val="0"/>
      <w:divBdr>
        <w:top w:val="none" w:sz="0" w:space="0" w:color="auto"/>
        <w:left w:val="none" w:sz="0" w:space="0" w:color="auto"/>
        <w:bottom w:val="none" w:sz="0" w:space="0" w:color="auto"/>
        <w:right w:val="none" w:sz="0" w:space="0" w:color="auto"/>
      </w:divBdr>
      <w:divsChild>
        <w:div w:id="257032220">
          <w:marLeft w:val="0"/>
          <w:marRight w:val="0"/>
          <w:marTop w:val="0"/>
          <w:marBottom w:val="0"/>
          <w:divBdr>
            <w:top w:val="none" w:sz="0" w:space="0" w:color="auto"/>
            <w:left w:val="none" w:sz="0" w:space="0" w:color="auto"/>
            <w:bottom w:val="none" w:sz="0" w:space="0" w:color="auto"/>
            <w:right w:val="none" w:sz="0" w:space="0" w:color="auto"/>
          </w:divBdr>
        </w:div>
        <w:div w:id="671951088">
          <w:marLeft w:val="0"/>
          <w:marRight w:val="0"/>
          <w:marTop w:val="0"/>
          <w:marBottom w:val="0"/>
          <w:divBdr>
            <w:top w:val="none" w:sz="0" w:space="0" w:color="auto"/>
            <w:left w:val="none" w:sz="0" w:space="0" w:color="auto"/>
            <w:bottom w:val="none" w:sz="0" w:space="0" w:color="auto"/>
            <w:right w:val="none" w:sz="0" w:space="0" w:color="auto"/>
          </w:divBdr>
        </w:div>
      </w:divsChild>
    </w:div>
    <w:div w:id="291642445">
      <w:bodyDiv w:val="1"/>
      <w:marLeft w:val="0"/>
      <w:marRight w:val="0"/>
      <w:marTop w:val="0"/>
      <w:marBottom w:val="0"/>
      <w:divBdr>
        <w:top w:val="none" w:sz="0" w:space="0" w:color="auto"/>
        <w:left w:val="none" w:sz="0" w:space="0" w:color="auto"/>
        <w:bottom w:val="none" w:sz="0" w:space="0" w:color="auto"/>
        <w:right w:val="none" w:sz="0" w:space="0" w:color="auto"/>
      </w:divBdr>
    </w:div>
    <w:div w:id="1039356491">
      <w:bodyDiv w:val="1"/>
      <w:marLeft w:val="0"/>
      <w:marRight w:val="0"/>
      <w:marTop w:val="0"/>
      <w:marBottom w:val="0"/>
      <w:divBdr>
        <w:top w:val="none" w:sz="0" w:space="0" w:color="auto"/>
        <w:left w:val="none" w:sz="0" w:space="0" w:color="auto"/>
        <w:bottom w:val="none" w:sz="0" w:space="0" w:color="auto"/>
        <w:right w:val="none" w:sz="0" w:space="0" w:color="auto"/>
      </w:divBdr>
      <w:divsChild>
        <w:div w:id="966159754">
          <w:marLeft w:val="0"/>
          <w:marRight w:val="0"/>
          <w:marTop w:val="0"/>
          <w:marBottom w:val="0"/>
          <w:divBdr>
            <w:top w:val="none" w:sz="0" w:space="0" w:color="auto"/>
            <w:left w:val="none" w:sz="0" w:space="0" w:color="auto"/>
            <w:bottom w:val="none" w:sz="0" w:space="0" w:color="auto"/>
            <w:right w:val="none" w:sz="0" w:space="0" w:color="auto"/>
          </w:divBdr>
        </w:div>
        <w:div w:id="2068414281">
          <w:marLeft w:val="0"/>
          <w:marRight w:val="0"/>
          <w:marTop w:val="0"/>
          <w:marBottom w:val="0"/>
          <w:divBdr>
            <w:top w:val="none" w:sz="0" w:space="0" w:color="auto"/>
            <w:left w:val="none" w:sz="0" w:space="0" w:color="auto"/>
            <w:bottom w:val="none" w:sz="0" w:space="0" w:color="auto"/>
            <w:right w:val="none" w:sz="0" w:space="0" w:color="auto"/>
          </w:divBdr>
        </w:div>
      </w:divsChild>
    </w:div>
    <w:div w:id="1069158118">
      <w:bodyDiv w:val="1"/>
      <w:marLeft w:val="0"/>
      <w:marRight w:val="0"/>
      <w:marTop w:val="0"/>
      <w:marBottom w:val="0"/>
      <w:divBdr>
        <w:top w:val="none" w:sz="0" w:space="0" w:color="auto"/>
        <w:left w:val="none" w:sz="0" w:space="0" w:color="auto"/>
        <w:bottom w:val="none" w:sz="0" w:space="0" w:color="auto"/>
        <w:right w:val="none" w:sz="0" w:space="0" w:color="auto"/>
      </w:divBdr>
    </w:div>
    <w:div w:id="1495293653">
      <w:bodyDiv w:val="1"/>
      <w:marLeft w:val="0"/>
      <w:marRight w:val="0"/>
      <w:marTop w:val="0"/>
      <w:marBottom w:val="0"/>
      <w:divBdr>
        <w:top w:val="none" w:sz="0" w:space="0" w:color="auto"/>
        <w:left w:val="none" w:sz="0" w:space="0" w:color="auto"/>
        <w:bottom w:val="none" w:sz="0" w:space="0" w:color="auto"/>
        <w:right w:val="none" w:sz="0" w:space="0" w:color="auto"/>
      </w:divBdr>
    </w:div>
    <w:div w:id="208853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7B852-68C3-47CD-8EE7-8314AE55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8</Pages>
  <Words>2855</Words>
  <Characters>17135</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dc:creator>
  <cp:keywords/>
  <dc:description/>
  <cp:lastModifiedBy>Sikorski Paweł</cp:lastModifiedBy>
  <cp:revision>22</cp:revision>
  <cp:lastPrinted>2019-04-08T12:53:00Z</cp:lastPrinted>
  <dcterms:created xsi:type="dcterms:W3CDTF">2019-09-17T09:21:00Z</dcterms:created>
  <dcterms:modified xsi:type="dcterms:W3CDTF">2020-01-29T09:42:00Z</dcterms:modified>
</cp:coreProperties>
</file>